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201</w:t>
      </w:r>
      <w:r w:rsidR="008778DC">
        <w:rPr>
          <w:rFonts w:ascii="Times New Roman" w:hAnsi="Times New Roman" w:cs="Times New Roman"/>
          <w:b/>
          <w:sz w:val="28"/>
          <w:szCs w:val="28"/>
        </w:rPr>
        <w:t>9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20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8778DC">
        <w:rPr>
          <w:rFonts w:ascii="Times New Roman" w:hAnsi="Times New Roman" w:cs="Times New Roman"/>
          <w:b/>
          <w:sz w:val="28"/>
          <w:szCs w:val="28"/>
        </w:rPr>
        <w:t>1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1B24E5">
        <w:rPr>
          <w:rFonts w:ascii="Times New Roman" w:hAnsi="Times New Roman" w:cs="Times New Roman"/>
          <w:sz w:val="28"/>
          <w:szCs w:val="28"/>
        </w:rPr>
        <w:t>21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201</w:t>
      </w:r>
      <w:r w:rsidR="008778DC">
        <w:rPr>
          <w:rFonts w:ascii="Times New Roman" w:hAnsi="Times New Roman" w:cs="Times New Roman"/>
          <w:sz w:val="28"/>
          <w:szCs w:val="28"/>
        </w:rPr>
        <w:t>8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24E5" w:rsidRPr="00951BD6" w:rsidRDefault="001B24E5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4E5" w:rsidRDefault="00951BD6" w:rsidP="001B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изменением кодов классификации доходов и расходов, а также изменением объема финансовой помощи из краевого бюджета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администрацией Благодарненского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  201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  год и плановый период 2020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 –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бюджете)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18 декабря 2018 года.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24E5" w:rsidRPr="001A72E4" w:rsidRDefault="001B24E5" w:rsidP="0027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предлагается изменить параметры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плановый период 2020 и 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не меняются.</w:t>
      </w: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45" w:rsidRDefault="009E2445" w:rsidP="009E2445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274C8D" w:rsidRPr="00EA601B" w:rsidRDefault="00274C8D" w:rsidP="00274C8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Совета депутатов Благодарненского городского округа Ставропольского края на 2019 год по отношению к первоначально представленному проекту о бюджете 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бюджета:</w:t>
      </w:r>
    </w:p>
    <w:p w:rsidR="00274C8D" w:rsidRPr="00EA601B" w:rsidRDefault="00274C8D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142 579 368,49 руб. или на 9,12 процента и составили 1 705 583 526,31 руб.</w:t>
      </w:r>
      <w:r w:rsidR="00B42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B42F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445" w:rsidRDefault="009E2445" w:rsidP="009E2445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налоговых и неналоговых</w:t>
      </w:r>
      <w:r w:rsidRPr="00EA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74C8D" w:rsidRPr="00EA601B" w:rsidRDefault="00274C8D" w:rsidP="00511CDF">
      <w:pPr>
        <w:spacing w:after="0" w:line="240" w:lineRule="auto"/>
        <w:ind w:right="14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 на 231 952,00 руб. и составил 453 582 194,74,00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26,59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</w:t>
      </w:r>
    </w:p>
    <w:p w:rsidR="009E2445" w:rsidRPr="00EA601B" w:rsidRDefault="009E2445" w:rsidP="00FB1E7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и неналоговых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предполагаются:</w:t>
      </w:r>
    </w:p>
    <w:p w:rsidR="009E2445" w:rsidRPr="00705433" w:rsidRDefault="009E2445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налоговые доходы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2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представленных поправках к проекту решения о бюджете по отношению к первоначально представленному проекту решения о бюджете не изменились и прогнозируются</w:t>
      </w:r>
      <w:r w:rsidR="00B42F43"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сумме:</w:t>
      </w:r>
    </w:p>
    <w:p w:rsidR="009E2445" w:rsidRPr="00705433" w:rsidRDefault="00B12500" w:rsidP="00FB1E7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387 012 402,74</w:t>
      </w:r>
      <w:r w:rsidR="009E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445"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85,3</w:t>
      </w:r>
      <w:r w:rsidR="00B42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</w:t>
      </w:r>
      <w:r w:rsidR="009E2445"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9E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и неналоговых</w:t>
      </w:r>
      <w:r w:rsidR="009E2445"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доходов</w:t>
      </w:r>
      <w:r w:rsidR="009E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42F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22,69</w:t>
      </w:r>
      <w:r w:rsidR="009E2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</w:t>
      </w:r>
      <w:r w:rsidR="009E2445"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2445" w:rsidRDefault="009E2445" w:rsidP="009E2445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4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неналоговые доходы</w:t>
      </w:r>
      <w:r w:rsidRPr="00705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42F43" w:rsidRPr="007E0D92" w:rsidRDefault="00B42F43" w:rsidP="00B42F43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на </w:t>
      </w:r>
      <w:r w:rsidR="008A5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231 952,00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составили</w:t>
      </w:r>
      <w:r w:rsidRPr="007E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5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66 569 792</w:t>
      </w:r>
      <w:r w:rsidRPr="007E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 руб. или </w:t>
      </w:r>
      <w:r w:rsidR="008A5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14,68</w:t>
      </w:r>
      <w:r w:rsidRPr="007E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налоговых и неналоговых доходов (</w:t>
      </w:r>
      <w:r w:rsidR="008A5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7E0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от общей суммы доходов);</w:t>
      </w:r>
    </w:p>
    <w:p w:rsidR="00B42F43" w:rsidRPr="00705433" w:rsidRDefault="00B42F43" w:rsidP="009E2445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719A" w:rsidRDefault="00E0719A" w:rsidP="00E071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EA6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езвозмездные поступления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4AF0" w:rsidRDefault="00C44AF0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 на 142 347 416,49 руб. или на 12,83 процента и составили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1 252 001 331,57</w:t>
      </w:r>
      <w:r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73,41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C44AF0" w:rsidRDefault="00C44AF0" w:rsidP="00C44AF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структура доходной части местного бюджета на 2019 год с учетом поправок к проекту решения о бюджете выглядит следующим образом:</w:t>
      </w:r>
    </w:p>
    <w:p w:rsidR="003C3734" w:rsidRDefault="003C3734" w:rsidP="00C44AF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294" w:type="dxa"/>
        <w:tblLook w:val="04A0" w:firstRow="1" w:lastRow="0" w:firstColumn="1" w:lastColumn="0" w:noHBand="0" w:noVBand="1"/>
      </w:tblPr>
      <w:tblGrid>
        <w:gridCol w:w="3355"/>
        <w:gridCol w:w="1970"/>
        <w:gridCol w:w="1969"/>
        <w:gridCol w:w="1843"/>
        <w:gridCol w:w="1212"/>
      </w:tblGrid>
      <w:tr w:rsidR="00511CDF" w:rsidRPr="00511CDF" w:rsidTr="00637061">
        <w:trPr>
          <w:trHeight w:val="630"/>
        </w:trPr>
        <w:tc>
          <w:tcPr>
            <w:tcW w:w="33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2019 год (согласно проекту решения о бюджете)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на 2019 год (согласно поправок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проекту решения</w:t>
            </w: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поправок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(+,-)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согласно поправок к проекту решения о бюджете на 2019 год</w:t>
            </w:r>
          </w:p>
        </w:tc>
      </w:tr>
      <w:tr w:rsidR="00511CDF" w:rsidRPr="00511CDF" w:rsidTr="00637061">
        <w:trPr>
          <w:trHeight w:val="630"/>
        </w:trPr>
        <w:tc>
          <w:tcPr>
            <w:tcW w:w="3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CDF" w:rsidRPr="00511CDF" w:rsidRDefault="00511CDF" w:rsidP="0051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71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ДОХОДЫ, </w:t>
            </w:r>
            <w:proofErr w:type="gramStart"/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 Т.</w:t>
            </w:r>
            <w:proofErr w:type="gramEnd"/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453350242,74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453582194,74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231952,00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26,59</w:t>
            </w:r>
          </w:p>
        </w:tc>
      </w:tr>
      <w:tr w:rsidR="00511CDF" w:rsidRPr="00511CDF" w:rsidTr="00637061">
        <w:trPr>
          <w:trHeight w:val="1152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19453730,00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19453730,00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</w:tr>
      <w:tr w:rsidR="00511CDF" w:rsidRPr="00511CDF" w:rsidTr="00637061">
        <w:trPr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270035170,00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270035170,00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15,83</w:t>
            </w:r>
          </w:p>
        </w:tc>
      </w:tr>
      <w:tr w:rsidR="00511CDF" w:rsidRPr="00511CDF" w:rsidTr="00637061">
        <w:trPr>
          <w:trHeight w:val="630"/>
        </w:trPr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 том числе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23635490,00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23635490,00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</w:t>
            </w: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1260"/>
        </w:trPr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114000,00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511CDF" w:rsidRPr="00511CDF" w:rsidTr="00637061">
        <w:trPr>
          <w:trHeight w:val="509"/>
        </w:trPr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CDF" w:rsidRPr="00511CDF" w:rsidTr="00637061">
        <w:trPr>
          <w:trHeight w:val="981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14859000,00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511CDF" w:rsidRPr="00511CDF" w:rsidTr="00637061">
        <w:trPr>
          <w:trHeight w:val="72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8662490,00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511CDF" w:rsidRPr="00511CDF" w:rsidTr="00637061">
        <w:trPr>
          <w:trHeight w:val="315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67437012,74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67437012,74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511CDF" w:rsidRPr="00511CDF" w:rsidTr="00637061">
        <w:trPr>
          <w:trHeight w:val="630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511CDF" w:rsidRPr="00511CDF" w:rsidTr="00637061">
        <w:trPr>
          <w:trHeight w:val="501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НЕНАЛОГОВЫЕ ДОХОДЫ, </w:t>
            </w:r>
            <w:proofErr w:type="gramStart"/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 Т.</w:t>
            </w:r>
            <w:proofErr w:type="gramEnd"/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66337840,00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66569792,00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231952,00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</w:tr>
      <w:tr w:rsidR="00511CDF" w:rsidRPr="00511CDF" w:rsidTr="00637061">
        <w:trPr>
          <w:trHeight w:val="111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17000720,00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511CDF" w:rsidRPr="00511CDF" w:rsidTr="00637061">
        <w:trPr>
          <w:trHeight w:val="79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540430,00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511CDF" w:rsidRPr="00511CDF" w:rsidTr="00637061">
        <w:trPr>
          <w:trHeight w:val="1068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43023300,00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43255252,00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231952,00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</w:tr>
      <w:tr w:rsidR="00511CDF" w:rsidRPr="00511CDF" w:rsidTr="00637061">
        <w:trPr>
          <w:trHeight w:val="1030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511CDF" w:rsidRPr="00511CDF" w:rsidTr="00637061">
        <w:trPr>
          <w:trHeight w:val="915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5173020,00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511CDF" w:rsidRPr="00511CDF" w:rsidTr="00637061">
        <w:trPr>
          <w:trHeight w:val="630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1109653915,08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1252001331,57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511C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142347416,49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73,41</w:t>
            </w:r>
          </w:p>
        </w:tc>
      </w:tr>
      <w:tr w:rsidR="00511CDF" w:rsidRPr="00511CDF" w:rsidTr="00637061">
        <w:trPr>
          <w:trHeight w:val="1082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1107861611,08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1250209027,57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142347416,49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</w:t>
            </w:r>
          </w:p>
        </w:tc>
      </w:tr>
      <w:tr w:rsidR="00511CDF" w:rsidRPr="00511CDF" w:rsidTr="00637061">
        <w:trPr>
          <w:trHeight w:val="645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1792304,00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511CDF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511CDF" w:rsidRPr="00511CDF" w:rsidTr="00637061">
        <w:trPr>
          <w:trHeight w:val="690"/>
        </w:trPr>
        <w:tc>
          <w:tcPr>
            <w:tcW w:w="3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637061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– ВСЕГО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637061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1563004157,82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1CDF" w:rsidRPr="00637061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1705583526,31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11CDF" w:rsidRPr="00637061" w:rsidRDefault="00CC03EA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511CDF"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142579368,49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CDF" w:rsidRPr="00637061" w:rsidRDefault="00511CDF" w:rsidP="0051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511CDF" w:rsidRDefault="00511CDF" w:rsidP="00C44AF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</w:p>
    <w:p w:rsidR="003C3734" w:rsidRDefault="003C3734" w:rsidP="00CC03EA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поправок к </w:t>
      </w:r>
      <w:r>
        <w:rPr>
          <w:rFonts w:ascii="Times New Roman" w:hAnsi="Times New Roman" w:cs="Times New Roman"/>
          <w:sz w:val="28"/>
          <w:szCs w:val="28"/>
        </w:rPr>
        <w:t>проекту решения Совета депутатов Благодарненского городского округа Ставропольского края «О бюджете Благодарненского городского округа Ставропольского края на 2019 год и плановый период 2020 и 2021 годов» по отношению к первоначально представленному проекту о бюджете объем расходов на 2019 год увеличен на 142 579 368,49 руб. или на 9,12 процента и составил 1 705 583 526,31 руб.</w:t>
      </w:r>
    </w:p>
    <w:p w:rsidR="00CC03EA" w:rsidRDefault="00CC03EA" w:rsidP="00CC03E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CC03EA" w:rsidRDefault="00CC03EA" w:rsidP="00CC03E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поправками к проекту решения о бюджете прогнозируемые объемы расходов бюджета Благодарненского городского округа Ставропольского края по видам расходов на 2019 год представлена в следующей таблице.     </w:t>
      </w:r>
    </w:p>
    <w:p w:rsidR="00637061" w:rsidRDefault="00CC03EA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37061" w:rsidRDefault="00637061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61" w:rsidRDefault="00637061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61" w:rsidRDefault="00637061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061" w:rsidRDefault="00637061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3EA" w:rsidRDefault="00637061" w:rsidP="00CC03EA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C03EA">
        <w:rPr>
          <w:rFonts w:ascii="Times New Roman" w:hAnsi="Times New Roman" w:cs="Times New Roman"/>
          <w:sz w:val="28"/>
          <w:szCs w:val="28"/>
        </w:rPr>
        <w:t xml:space="preserve">       руб.</w:t>
      </w:r>
    </w:p>
    <w:tbl>
      <w:tblPr>
        <w:tblW w:w="10210" w:type="dxa"/>
        <w:tblLook w:val="04A0" w:firstRow="1" w:lastRow="0" w:firstColumn="1" w:lastColumn="0" w:noHBand="0" w:noVBand="1"/>
      </w:tblPr>
      <w:tblGrid>
        <w:gridCol w:w="2405"/>
        <w:gridCol w:w="1877"/>
        <w:gridCol w:w="1200"/>
        <w:gridCol w:w="1921"/>
        <w:gridCol w:w="1200"/>
        <w:gridCol w:w="1607"/>
      </w:tblGrid>
      <w:tr w:rsidR="00CC03EA" w:rsidTr="00CC03EA">
        <w:trPr>
          <w:trHeight w:val="19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2019 год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2019 год с учетом поправок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2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184679268,60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178979724,11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-5699544,49</w:t>
            </w:r>
          </w:p>
        </w:tc>
      </w:tr>
      <w:tr w:rsidR="00CC03EA" w:rsidTr="00CC03EA">
        <w:trPr>
          <w:trHeight w:val="5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10211452,38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10211452,38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168384452,66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175405302,66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+7020850,00</w:t>
            </w:r>
          </w:p>
        </w:tc>
      </w:tr>
      <w:tr w:rsidR="00CC03EA" w:rsidTr="00CC03EA">
        <w:trPr>
          <w:trHeight w:val="4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40904387,22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134006492,93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+93102105,71</w:t>
            </w:r>
          </w:p>
        </w:tc>
      </w:tr>
      <w:tr w:rsidR="00CC03EA" w:rsidTr="00CC03EA">
        <w:trPr>
          <w:trHeight w:val="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669132010,74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714232200,93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+45100190,19</w:t>
            </w:r>
          </w:p>
        </w:tc>
      </w:tr>
      <w:tr w:rsidR="00CC03EA" w:rsidTr="00CC03EA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87322392,52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90177409,60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+2855017,08</w:t>
            </w:r>
          </w:p>
        </w:tc>
      </w:tr>
      <w:tr w:rsidR="00CC03EA" w:rsidTr="00CC03EA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386014979,00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386215729,00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+200750,00</w:t>
            </w:r>
          </w:p>
        </w:tc>
      </w:tr>
      <w:tr w:rsidR="00CC03EA" w:rsidTr="00CC03EA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16355214,70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16355214,70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1563004157,82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1705583526,31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+142579368,49</w:t>
            </w:r>
          </w:p>
        </w:tc>
      </w:tr>
    </w:tbl>
    <w:p w:rsidR="00CC03EA" w:rsidRDefault="00CC03EA" w:rsidP="00CC03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C03EA" w:rsidRDefault="00CC03EA" w:rsidP="00CC03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бюджета Благодарненского городского округа Ставропольского края на 2019 год с учетом поправок занимают расходы по направлениям: «Образование» более 41 процента, «Социальная политика» более 22 процентов, «Общегосударственные вопросы» более 10 процентов, «Национальная экономика» более 10 процентов.</w:t>
      </w:r>
    </w:p>
    <w:p w:rsidR="00CC03EA" w:rsidRDefault="00CC03EA" w:rsidP="00CC03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прогноза местного бюджета с учетом поправок на 2019 год в разрезе подразделов функциональной классификации расходов представлены в таблицах.</w:t>
      </w:r>
    </w:p>
    <w:p w:rsidR="00CC03EA" w:rsidRDefault="00CC03EA" w:rsidP="00CC03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0100 «Общегосударственные вопросы»     </w:t>
      </w:r>
    </w:p>
    <w:p w:rsidR="00CC03EA" w:rsidRDefault="00CC03EA" w:rsidP="00CC0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877"/>
        <w:gridCol w:w="1200"/>
        <w:gridCol w:w="1921"/>
        <w:gridCol w:w="956"/>
        <w:gridCol w:w="1417"/>
      </w:tblGrid>
      <w:tr w:rsidR="00CC03EA" w:rsidTr="00CC03EA">
        <w:trPr>
          <w:trHeight w:val="16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9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1415704,32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1415704,32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11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7105930,13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7105930,13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11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68356822,35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69247070,68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+890248,33</w:t>
            </w:r>
          </w:p>
        </w:tc>
      </w:tr>
      <w:tr w:rsidR="00CC03EA" w:rsidTr="00CC03EA">
        <w:trPr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 Судебная система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9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12804717,32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12804717,32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 Резервные фонды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94459144,48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87869351,66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-6589792,82</w:t>
            </w:r>
          </w:p>
        </w:tc>
      </w:tr>
      <w:tr w:rsidR="00CC03EA" w:rsidTr="00CC03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184679268,60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178979724,11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-5699544,49</w:t>
            </w:r>
          </w:p>
        </w:tc>
      </w:tr>
    </w:tbl>
    <w:p w:rsidR="00CC03EA" w:rsidRDefault="00CC03EA" w:rsidP="00CC03EA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0100 «Общегосударственные расходы» в 2019 году объем расходов с учетом поправок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уменьшится на сумму 5 699 544,49 руб. или на 3,09 процента.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03EA" w:rsidRDefault="00CC03EA" w:rsidP="00CC03EA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spacing w:after="0" w:line="240" w:lineRule="auto"/>
        <w:ind w:right="-142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0300 «Национальная безопасность и правоохранительная деятельность»</w:t>
      </w:r>
    </w:p>
    <w:p w:rsidR="00CC03EA" w:rsidRDefault="00CC03EA" w:rsidP="00CC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Расходы по подраздеру 0309 «Защита населения и территории от чрезвычайных ситуаций природного и техногенного характера, гражданская оборона» с учетом поправок на 2019 год прогнозируются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211 452,38 руб., что соответствует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первоначально прогнозируемым бюджетным ассигнованиям на 2019 год.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61" w:rsidRDefault="00CC03EA" w:rsidP="00CC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C03EA" w:rsidRDefault="00CC03EA" w:rsidP="00637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637061" w:rsidRDefault="00CC03EA" w:rsidP="00CC03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37061" w:rsidRDefault="00637061" w:rsidP="00CC03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061" w:rsidRDefault="00637061" w:rsidP="00CC03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EA" w:rsidRDefault="00637061" w:rsidP="00CC03EA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CC0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03EA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420" w:type="dxa"/>
        <w:tblInd w:w="-5" w:type="dxa"/>
        <w:tblLook w:val="04A0" w:firstRow="1" w:lastRow="0" w:firstColumn="1" w:lastColumn="0" w:noHBand="0" w:noVBand="1"/>
      </w:tblPr>
      <w:tblGrid>
        <w:gridCol w:w="2835"/>
        <w:gridCol w:w="1877"/>
        <w:gridCol w:w="1200"/>
        <w:gridCol w:w="1921"/>
        <w:gridCol w:w="1200"/>
        <w:gridCol w:w="1387"/>
      </w:tblGrid>
      <w:tr w:rsidR="00CC03EA" w:rsidTr="00CC03EA">
        <w:trPr>
          <w:trHeight w:val="12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5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 Сельское хозяйство и рыболовство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15110140,66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22130990,66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+7020850,00</w:t>
            </w:r>
          </w:p>
        </w:tc>
      </w:tr>
      <w:tr w:rsidR="00CC03EA" w:rsidTr="00CC03EA">
        <w:trPr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151200824,00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151200824,00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5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 Другие вопросы в области национальной экономики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2073488,00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2073488,00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168384452,66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175405302,66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+7020850,00</w:t>
            </w:r>
          </w:p>
        </w:tc>
      </w:tr>
    </w:tbl>
    <w:p w:rsidR="00CC03EA" w:rsidRDefault="00CC03EA" w:rsidP="00CC03EA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0400 «Национальная экономика» в 2019 году объем расходов с учетом поправок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сумму 7020850,00 руб. или на 4,17 процента, в том числе по подразделу 0405 «Сельское хозяйство и рыболовство» объем расходов увеличивается на сумму 7 020 850,00 руб. или на 46,46 процента.</w:t>
      </w:r>
    </w:p>
    <w:p w:rsidR="00CC03EA" w:rsidRDefault="00CC03EA" w:rsidP="00CC03E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CC03EA" w:rsidRDefault="00CC03EA" w:rsidP="00CC03EA">
      <w:pPr>
        <w:tabs>
          <w:tab w:val="left" w:pos="10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0388" w:type="dxa"/>
        <w:tblInd w:w="-5" w:type="dxa"/>
        <w:tblLook w:val="04A0" w:firstRow="1" w:lastRow="0" w:firstColumn="1" w:lastColumn="0" w:noHBand="0" w:noVBand="1"/>
      </w:tblPr>
      <w:tblGrid>
        <w:gridCol w:w="2694"/>
        <w:gridCol w:w="1877"/>
        <w:gridCol w:w="1200"/>
        <w:gridCol w:w="1921"/>
        <w:gridCol w:w="1200"/>
        <w:gridCol w:w="1496"/>
      </w:tblGrid>
      <w:tr w:rsidR="00CC03EA" w:rsidTr="00CC03EA">
        <w:trPr>
          <w:trHeight w:val="1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 Жилищное хозяйство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 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 Благоустройство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20356364,42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113458470,13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+93102105,71</w:t>
            </w:r>
          </w:p>
        </w:tc>
      </w:tr>
      <w:tr w:rsidR="00CC03EA" w:rsidTr="00CC03EA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 Другие вопросы в области жилищно-коммунального хозяйства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18803022,80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18803022,80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 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40904387,22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134006492,93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+93102105,71</w:t>
            </w:r>
          </w:p>
        </w:tc>
      </w:tr>
    </w:tbl>
    <w:p w:rsidR="00CC03EA" w:rsidRDefault="00CC03EA" w:rsidP="00CC03EA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разделу 0500 «Жилищно-коммунальное хозяйство» в 2019 году объем расходов с учетом поправок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сумму 93 102 105,</w:t>
      </w:r>
      <w:proofErr w:type="gramStart"/>
      <w:r>
        <w:rPr>
          <w:rFonts w:ascii="Times New Roman" w:hAnsi="Times New Roman" w:cs="Times New Roman"/>
          <w:sz w:val="28"/>
          <w:szCs w:val="28"/>
        </w:rPr>
        <w:t>71 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 27,61 процента, в том числе по подразделу 0503 «Благоустройство» объем расходов увеличивается на сумму 93 102 105,71 руб. или на 57,36 процента.</w:t>
      </w:r>
    </w:p>
    <w:p w:rsidR="00CC03EA" w:rsidRDefault="00CC03EA" w:rsidP="00CC03EA">
      <w:pPr>
        <w:spacing w:after="0" w:line="240" w:lineRule="auto"/>
        <w:ind w:right="-283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7061" w:rsidRDefault="00637061" w:rsidP="00CC03EA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061" w:rsidRDefault="00637061" w:rsidP="00CC03EA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03EA" w:rsidRDefault="00CC03EA" w:rsidP="00CC03EA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руб.   </w:t>
      </w:r>
    </w:p>
    <w:tbl>
      <w:tblPr>
        <w:tblW w:w="10263" w:type="dxa"/>
        <w:tblInd w:w="-5" w:type="dxa"/>
        <w:tblLook w:val="04A0" w:firstRow="1" w:lastRow="0" w:firstColumn="1" w:lastColumn="0" w:noHBand="0" w:noVBand="1"/>
      </w:tblPr>
      <w:tblGrid>
        <w:gridCol w:w="2694"/>
        <w:gridCol w:w="1877"/>
        <w:gridCol w:w="1200"/>
        <w:gridCol w:w="1921"/>
        <w:gridCol w:w="1200"/>
        <w:gridCol w:w="1497"/>
      </w:tblGrid>
      <w:tr w:rsidR="00CC03EA" w:rsidTr="00CC03EA">
        <w:trPr>
          <w:trHeight w:val="1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0701 Дошкольное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образованик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226245759,64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266911418,02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+40665658,38</w:t>
            </w:r>
          </w:p>
        </w:tc>
      </w:tr>
      <w:tr w:rsidR="00CC03EA" w:rsidTr="00CC03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 Общее 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369764091,95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374198623,76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+4434531,81</w:t>
            </w:r>
          </w:p>
        </w:tc>
      </w:tr>
      <w:tr w:rsidR="00CC03EA" w:rsidTr="00CC03EA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 Дополнительное образование детей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51965688,55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51965688,55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 Молодежная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6532176,71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6532176,71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 Другие вопросы в области образования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14624293,89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14624293,89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Всего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669132010,74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714232200,93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+45100190,19</w:t>
            </w:r>
          </w:p>
        </w:tc>
      </w:tr>
    </w:tbl>
    <w:p w:rsidR="00CC03EA" w:rsidRDefault="00CC03EA" w:rsidP="00CC03EA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разделу 0700 «Образование» в 2019 году объем расходов с учетом поправок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сумму 45 100 190,</w:t>
      </w:r>
      <w:proofErr w:type="gramStart"/>
      <w:r>
        <w:rPr>
          <w:rFonts w:ascii="Times New Roman" w:hAnsi="Times New Roman" w:cs="Times New Roman"/>
          <w:sz w:val="28"/>
          <w:szCs w:val="28"/>
        </w:rPr>
        <w:t>19 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 6,74 процента, в том числе по подразделу 0701 «Дошкольное образование» объем расходов увеличивается на сумму 40 665 658,38 руб. или на 17,97 процента, по подразделу 0702 «Общее образование» объем расходов увеличивается на сумму 4 434 531,81 руб. или на 1,20 процента. </w:t>
      </w:r>
    </w:p>
    <w:p w:rsidR="00CC03EA" w:rsidRDefault="00CC03EA" w:rsidP="00CC03E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3EA" w:rsidRDefault="00CC03EA" w:rsidP="00CC03EA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</w:p>
    <w:p w:rsidR="00CC03EA" w:rsidRDefault="00CC03EA" w:rsidP="00CC03EA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подраздеру 0801 «Культура» с учетом поправок на 2019 год прогнозируются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90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177 409,60 руб.,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больше на сумму 2 855 017,08  руб. или на 3,27 процента</w:t>
      </w:r>
    </w:p>
    <w:p w:rsidR="00CC03EA" w:rsidRDefault="00CC03EA" w:rsidP="00CC03EA">
      <w:pPr>
        <w:tabs>
          <w:tab w:val="left" w:pos="67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EA" w:rsidRDefault="00CC03EA" w:rsidP="00CC03EA">
      <w:pPr>
        <w:tabs>
          <w:tab w:val="left" w:pos="67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03EA" w:rsidRDefault="00CC03EA" w:rsidP="00CC03EA">
      <w:pPr>
        <w:tabs>
          <w:tab w:val="left" w:pos="670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руб. </w:t>
      </w:r>
    </w:p>
    <w:tbl>
      <w:tblPr>
        <w:tblW w:w="10246" w:type="dxa"/>
        <w:tblInd w:w="-10" w:type="dxa"/>
        <w:tblLook w:val="04A0" w:firstRow="1" w:lastRow="0" w:firstColumn="1" w:lastColumn="0" w:noHBand="0" w:noVBand="1"/>
      </w:tblPr>
      <w:tblGrid>
        <w:gridCol w:w="2552"/>
        <w:gridCol w:w="1877"/>
        <w:gridCol w:w="1200"/>
        <w:gridCol w:w="1921"/>
        <w:gridCol w:w="1200"/>
        <w:gridCol w:w="1496"/>
      </w:tblGrid>
      <w:tr w:rsidR="00CC03EA" w:rsidTr="00CC03EA">
        <w:trPr>
          <w:trHeight w:val="166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 Социальное обеспечение населения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250969840,00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227491050,00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-23478790,00</w:t>
            </w:r>
          </w:p>
        </w:tc>
      </w:tr>
      <w:tr w:rsidR="00CC03EA" w:rsidTr="00CC03EA">
        <w:trPr>
          <w:trHeight w:val="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 Охрана семьи и детства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116670270,00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140349810,00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+23679540,00</w:t>
            </w:r>
          </w:p>
        </w:tc>
      </w:tr>
      <w:tr w:rsidR="00CC03EA" w:rsidTr="00CC03EA">
        <w:trPr>
          <w:trHeight w:val="9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1006 Другие вопросы в области социальной политики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18374869,00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18374869,00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Всего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386014979,00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386215729,00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+200750,00</w:t>
            </w:r>
          </w:p>
        </w:tc>
      </w:tr>
    </w:tbl>
    <w:p w:rsidR="00CC03EA" w:rsidRDefault="00CC03EA" w:rsidP="00CC03EA">
      <w:pPr>
        <w:spacing w:after="0" w:line="240" w:lineRule="auto"/>
        <w:ind w:right="-42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разделу 1000 «Социальная политика» в 2019 году объем расходов с учетом поправок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прогнозируемым показателям на 2019 год</w:t>
      </w:r>
      <w:r>
        <w:rPr>
          <w:rFonts w:ascii="Times New Roman" w:hAnsi="Times New Roman" w:cs="Times New Roman"/>
          <w:sz w:val="28"/>
          <w:szCs w:val="28"/>
        </w:rPr>
        <w:t xml:space="preserve"> увеличится на сумму 200 750,00 руб. или на 0,05 процента, при этом объем расходов по подразделу 1003 «Социальное обеспечение населения» уменьшается на сумму 23 478 790,00 руб.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,36 процента, по подразделу 1004 «Охрана семьи и детства» объем расходов увеличивается на сумму 23 679 540,00 руб. или на 20,30 процента. </w:t>
      </w:r>
    </w:p>
    <w:p w:rsidR="00CC03EA" w:rsidRDefault="00CC03EA" w:rsidP="00CC03EA">
      <w:pPr>
        <w:tabs>
          <w:tab w:val="left" w:pos="67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1100 «Физическая культура и спорт» </w:t>
      </w:r>
    </w:p>
    <w:p w:rsidR="00CC03EA" w:rsidRDefault="00CC03EA" w:rsidP="00CC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Расходы по подраздеру 1102 «Массовый спорт» с учетом поправок на 2019 год прогнозируются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355 214,70 руб., что соответствует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первоначально прогнозируемым бюджетным ассигнованиям на 2019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C03EA" w:rsidRDefault="00CC03EA" w:rsidP="00CC03EA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прогнозируемым объемам расходов бюджета Благодарнеского городского округа Ставропольского края по главным распорядителям бюджетных средств местного бюджета представлена в следующей таблице.</w:t>
      </w:r>
    </w:p>
    <w:p w:rsidR="00CC03EA" w:rsidRDefault="00CC03EA" w:rsidP="00CC03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9212" w:type="dxa"/>
        <w:tblInd w:w="-5" w:type="dxa"/>
        <w:tblLook w:val="04A0" w:firstRow="1" w:lastRow="0" w:firstColumn="1" w:lastColumn="0" w:noHBand="0" w:noVBand="1"/>
      </w:tblPr>
      <w:tblGrid>
        <w:gridCol w:w="1918"/>
        <w:gridCol w:w="1877"/>
        <w:gridCol w:w="1200"/>
        <w:gridCol w:w="1921"/>
        <w:gridCol w:w="1200"/>
        <w:gridCol w:w="1607"/>
      </w:tblGrid>
      <w:tr w:rsidR="00CC03EA" w:rsidTr="00CC03EA">
        <w:trPr>
          <w:trHeight w:val="162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2019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2019 год с учетом поправок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03EA" w:rsidRDefault="00CC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2019 год (+, -)</w:t>
            </w:r>
          </w:p>
        </w:tc>
      </w:tr>
      <w:tr w:rsidR="00CC03EA" w:rsidTr="00CC03EA">
        <w:trPr>
          <w:trHeight w:val="1424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7195930,13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7195930,13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574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274159242,41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277164577,82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+3005335,41</w:t>
            </w:r>
          </w:p>
        </w:tc>
      </w:tr>
      <w:tr w:rsidR="00CC03EA" w:rsidTr="00CC03EA">
        <w:trPr>
          <w:trHeight w:val="2464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8777271,85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8777271,85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CC03EA" w:rsidTr="00CC03EA">
        <w:trPr>
          <w:trHeight w:val="1946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50356858,61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43767065,79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-6589792,82</w:t>
            </w:r>
          </w:p>
        </w:tc>
      </w:tr>
      <w:tr w:rsidR="00CC03EA" w:rsidTr="00CC03EA">
        <w:trPr>
          <w:trHeight w:val="2257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673309311,33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719149431,52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+45840120,19</w:t>
            </w:r>
          </w:p>
        </w:tc>
      </w:tr>
      <w:tr w:rsidR="00CC03EA" w:rsidTr="00CC03EA">
        <w:trPr>
          <w:trHeight w:val="2504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труда и социальной защиты населения администрации Благодарненского городского округа Ставропольского края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367069939,00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367270689,00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+00750,00</w:t>
            </w:r>
          </w:p>
        </w:tc>
      </w:tr>
      <w:tr w:rsidR="00CC03EA" w:rsidTr="00CC03EA">
        <w:trPr>
          <w:trHeight w:val="1991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167025463,83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260127569,54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+93102105,71</w:t>
            </w:r>
          </w:p>
        </w:tc>
      </w:tr>
      <w:tr w:rsidR="00CC03EA" w:rsidTr="00CC03EA">
        <w:trPr>
          <w:trHeight w:val="290"/>
        </w:trPr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15110140,66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22130990,66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+7020850,00</w:t>
            </w:r>
          </w:p>
        </w:tc>
      </w:tr>
      <w:tr w:rsidR="00CC03EA" w:rsidTr="00CC03EA">
        <w:trPr>
          <w:trHeight w:val="30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Всего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1563004157,82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1705583526,31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03EA" w:rsidRDefault="00CC0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+142579368,49</w:t>
            </w:r>
          </w:p>
        </w:tc>
      </w:tr>
    </w:tbl>
    <w:p w:rsidR="00CC03EA" w:rsidRDefault="00CC03EA" w:rsidP="00CC03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C03EA" w:rsidRDefault="00CC03E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о бюджете по отношению к первоначально представленному проекту о бюджете расходы 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бюджета:</w:t>
      </w:r>
    </w:p>
    <w:p w:rsidR="001707DA" w:rsidRPr="00EA601B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рамках реализации муниципальной программы Благодарненского городского округа Ставропольского края «Социальная поддержка граждан»:</w:t>
      </w:r>
    </w:p>
    <w:p w:rsidR="001707DA" w:rsidRPr="00EA601B" w:rsidRDefault="001707DA" w:rsidP="001707DA">
      <w:pPr>
        <w:spacing w:after="0" w:line="240" w:lineRule="auto"/>
        <w:ind w:right="-14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200 750,00 руб. или на 0,05 процента и составили 377 662 226,94 руб.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DA" w:rsidRPr="00EA601B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рамках реализации муниципальной программы Благодарненского городского округа Ставропольского края «Развитие образования и молодежной политики»:</w:t>
      </w:r>
    </w:p>
    <w:p w:rsidR="001707DA" w:rsidRPr="00EA601B" w:rsidRDefault="001707DA" w:rsidP="001707DA">
      <w:pPr>
        <w:spacing w:after="0" w:line="240" w:lineRule="auto"/>
        <w:ind w:right="-14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5 100 190,19 руб. или на 0,78 процента и составили 662 910 750,81 руб.</w:t>
      </w:r>
      <w:r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«Развитие сельского хозяйства»: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7 020 850,00 руб. или на 47,42 процента и составили 21 827 405,66 руб.;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B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края»: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2 855 017,08 руб. или на 1,6 процента и составили 180 860 419,05 руб.;</w:t>
      </w:r>
    </w:p>
    <w:p w:rsidR="001707DA" w:rsidRDefault="006B5F35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на 2018-2022 годы</w:t>
      </w:r>
      <w:r w:rsidR="001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6B5F35" w:rsidRDefault="006B5F35" w:rsidP="006B5F35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74 891 579,39 руб. и составили 74 891 579,39 руб.;</w:t>
      </w:r>
    </w:p>
    <w:p w:rsidR="006B5F35" w:rsidRDefault="006B5F35" w:rsidP="006B5F35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инфраструктуры»:</w:t>
      </w:r>
    </w:p>
    <w:p w:rsidR="006B5F35" w:rsidRDefault="006B5F35" w:rsidP="006B5F35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 на 18 210 526,32 руб. или на 9,6 процента и составили 207 805 687,88 руб.;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непрограммные расходы:</w:t>
      </w:r>
    </w:p>
    <w:p w:rsidR="001707DA" w:rsidRPr="002A3570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на </w:t>
      </w:r>
      <w:r w:rsidR="0078377C"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34 300 455,51</w:t>
      </w:r>
      <w:r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78377C"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23,60</w:t>
      </w:r>
      <w:r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составили </w:t>
      </w:r>
      <w:r w:rsidR="0078377C" w:rsidRP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179 625 456,58</w:t>
      </w:r>
      <w:r w:rsidR="002A3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с учетом поправок в рамках реализации муниципальных программ и непрограммных видов деятельности представлено в следующей таблице:</w:t>
      </w:r>
    </w:p>
    <w:p w:rsidR="001707DA" w:rsidRDefault="001707DA" w:rsidP="005B17E1">
      <w:pPr>
        <w:pStyle w:val="a3"/>
        <w:widowControl w:val="0"/>
        <w:spacing w:after="0"/>
        <w:ind w:firstLine="900"/>
        <w:jc w:val="both"/>
        <w:rPr>
          <w:rFonts w:eastAsia="Calibri"/>
          <w:sz w:val="28"/>
          <w:szCs w:val="28"/>
        </w:rPr>
      </w:pPr>
    </w:p>
    <w:tbl>
      <w:tblPr>
        <w:tblStyle w:val="a5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82"/>
        <w:gridCol w:w="1843"/>
        <w:gridCol w:w="1560"/>
        <w:gridCol w:w="1559"/>
        <w:gridCol w:w="1417"/>
      </w:tblGrid>
      <w:tr w:rsidR="006C2C7A" w:rsidTr="00C44ADF">
        <w:tc>
          <w:tcPr>
            <w:tcW w:w="4282" w:type="dxa"/>
            <w:vMerge w:val="restart"/>
          </w:tcPr>
          <w:p w:rsidR="00BD33D5" w:rsidRPr="00BD33D5" w:rsidRDefault="00193871" w:rsidP="0019387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муниципальной </w:t>
            </w:r>
          </w:p>
          <w:p w:rsidR="00BD33D5" w:rsidRPr="00BD33D5" w:rsidRDefault="007E028E" w:rsidP="007E028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программы Благодарненского городского округа</w:t>
            </w:r>
          </w:p>
          <w:p w:rsidR="00193871" w:rsidRPr="00BD33D5" w:rsidRDefault="00193871" w:rsidP="00193871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4962" w:type="dxa"/>
            <w:gridSpan w:val="3"/>
          </w:tcPr>
          <w:p w:rsidR="00193871" w:rsidRPr="00BD33D5" w:rsidRDefault="009A0707" w:rsidP="00A2167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Прогноз расходов</w:t>
            </w:r>
            <w:r w:rsidR="006B5F3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2019 год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193871"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руб.</w:t>
            </w:r>
            <w:proofErr w:type="gramEnd"/>
            <w:r w:rsidR="00193871"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193871" w:rsidRPr="00BD33D5" w:rsidRDefault="00193871" w:rsidP="00C44ADF">
            <w:pPr>
              <w:ind w:right="175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D33D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Удельный вес (%)</w:t>
            </w:r>
          </w:p>
        </w:tc>
      </w:tr>
      <w:tr w:rsidR="00C44ADF" w:rsidTr="00C44ADF">
        <w:tc>
          <w:tcPr>
            <w:tcW w:w="4282" w:type="dxa"/>
            <w:vMerge/>
          </w:tcPr>
          <w:p w:rsidR="00C44ADF" w:rsidRDefault="00C44ADF" w:rsidP="00A2167B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4ADF" w:rsidRPr="00BD33D5" w:rsidRDefault="00C44ADF" w:rsidP="006B5F35">
            <w:pPr>
              <w:ind w:right="34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Согласно проекту решения о бюджете </w:t>
            </w:r>
          </w:p>
        </w:tc>
        <w:tc>
          <w:tcPr>
            <w:tcW w:w="1560" w:type="dxa"/>
          </w:tcPr>
          <w:p w:rsidR="00C44ADF" w:rsidRPr="00BD33D5" w:rsidRDefault="00C44ADF" w:rsidP="006B5F35">
            <w:pPr>
              <w:ind w:right="176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Согласно поправок к проекту решению о бюджете</w:t>
            </w:r>
          </w:p>
        </w:tc>
        <w:tc>
          <w:tcPr>
            <w:tcW w:w="1559" w:type="dxa"/>
          </w:tcPr>
          <w:p w:rsidR="00C44ADF" w:rsidRPr="00BD33D5" w:rsidRDefault="00C44ADF" w:rsidP="00CC03EA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Сумма поправок</w:t>
            </w:r>
            <w:r w:rsidR="00CC03E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(+,-)</w:t>
            </w:r>
          </w:p>
        </w:tc>
        <w:tc>
          <w:tcPr>
            <w:tcW w:w="1417" w:type="dxa"/>
          </w:tcPr>
          <w:p w:rsidR="00C44ADF" w:rsidRPr="00BD33D5" w:rsidRDefault="00C44ADF" w:rsidP="006A3DFE">
            <w:pPr>
              <w:tabs>
                <w:tab w:val="left" w:pos="399"/>
              </w:tabs>
              <w:ind w:right="43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4ADF" w:rsidTr="00C44ADF">
        <w:tc>
          <w:tcPr>
            <w:tcW w:w="4282" w:type="dxa"/>
          </w:tcPr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C44ADF" w:rsidRPr="00A46A4F" w:rsidRDefault="00C44ADF" w:rsidP="007E028E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Pr="00A46A4F" w:rsidRDefault="00C44ADF" w:rsidP="006A3DFE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2 Обеспечение реализации муниципальной программы Благодарненского городского округа Ставропольского края «Социальная поддержка граждан»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843" w:type="dxa"/>
          </w:tcPr>
          <w:p w:rsidR="00C44ADF" w:rsidRPr="006A3DFE" w:rsidRDefault="00C44ADF" w:rsidP="0019387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3D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377 461 476,94</w:t>
            </w:r>
          </w:p>
          <w:p w:rsidR="00C44ADF" w:rsidRDefault="00C44ADF" w:rsidP="001938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1938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359 086 607,94</w:t>
            </w:r>
          </w:p>
          <w:p w:rsidR="00C44ADF" w:rsidRDefault="00C44ADF" w:rsidP="001938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1938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A46A4F" w:rsidRDefault="00C44ADF" w:rsidP="001938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18 374 869,00</w:t>
            </w:r>
          </w:p>
        </w:tc>
        <w:tc>
          <w:tcPr>
            <w:tcW w:w="1560" w:type="dxa"/>
          </w:tcPr>
          <w:p w:rsidR="00C44ADF" w:rsidRDefault="00C44ADF" w:rsidP="0019387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377 662 226,94</w:t>
            </w:r>
          </w:p>
          <w:p w:rsidR="00C44ADF" w:rsidRDefault="00C44ADF" w:rsidP="0019387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44ADF" w:rsidP="001938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359 287 357,94</w:t>
            </w:r>
          </w:p>
          <w:p w:rsidR="00C44ADF" w:rsidRDefault="00C44ADF" w:rsidP="001938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1938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C44ADF" w:rsidRDefault="00C44ADF" w:rsidP="001938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18 374 869,00</w:t>
            </w:r>
          </w:p>
        </w:tc>
        <w:tc>
          <w:tcPr>
            <w:tcW w:w="1559" w:type="dxa"/>
          </w:tcPr>
          <w:p w:rsidR="00C44ADF" w:rsidRDefault="00CC03EA" w:rsidP="006913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C44ADF" w:rsidRPr="00C44A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200 750,00</w:t>
            </w:r>
          </w:p>
          <w:p w:rsidR="00C44ADF" w:rsidRDefault="00C44ADF" w:rsidP="0069132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C03EA" w:rsidP="006913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C44ADF" w:rsidRPr="00C44ADF">
              <w:rPr>
                <w:rFonts w:ascii="Times New Roman" w:eastAsia="Calibri" w:hAnsi="Times New Roman" w:cs="Times New Roman"/>
                <w:sz w:val="18"/>
                <w:szCs w:val="18"/>
              </w:rPr>
              <w:t>200 750,00</w:t>
            </w:r>
          </w:p>
          <w:p w:rsidR="00C44ADF" w:rsidRDefault="00C44ADF" w:rsidP="006913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6913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C44ADF" w:rsidRDefault="00C44ADF" w:rsidP="006913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44ADF" w:rsidRPr="002858F2" w:rsidRDefault="008C530C" w:rsidP="007E028E">
            <w:pPr>
              <w:ind w:right="-9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22,14</w:t>
            </w:r>
          </w:p>
        </w:tc>
      </w:tr>
      <w:tr w:rsidR="00C44ADF" w:rsidTr="00C44ADF">
        <w:trPr>
          <w:trHeight w:val="3031"/>
        </w:trPr>
        <w:tc>
          <w:tcPr>
            <w:tcW w:w="4282" w:type="dxa"/>
          </w:tcPr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B7278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C44ADF" w:rsidRDefault="00C44ADF" w:rsidP="00B7278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C44ADF" w:rsidRDefault="00C44ADF" w:rsidP="00B7278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Pr="00A46A4F" w:rsidRDefault="00C44ADF" w:rsidP="00B7278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«Летний отдых»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B72784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44ADF" w:rsidRDefault="00C44ADF" w:rsidP="00B72784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C44ADF" w:rsidRPr="00A46A4F" w:rsidRDefault="00C44ADF" w:rsidP="00691329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ADF" w:rsidRPr="006A3DFE" w:rsidRDefault="00C44ADF" w:rsidP="009B5D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3DF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657 810 560,62</w:t>
            </w: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627 846 100,19</w:t>
            </w: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10 275 410,00</w:t>
            </w: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6 733 641,54</w:t>
            </w: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12 955 408,89</w:t>
            </w: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A46A4F" w:rsidRDefault="00C44ADF" w:rsidP="009B5D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4ADF" w:rsidRPr="008C530C" w:rsidRDefault="00C44ADF" w:rsidP="009B5D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3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662 910 750,81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632 946 290,38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10 275 410,00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6 733 641,54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Pr="00A46A4F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12 955 408,89</w:t>
            </w:r>
          </w:p>
        </w:tc>
        <w:tc>
          <w:tcPr>
            <w:tcW w:w="1559" w:type="dxa"/>
          </w:tcPr>
          <w:p w:rsidR="00C44ADF" w:rsidRPr="008C530C" w:rsidRDefault="00CC03EA" w:rsidP="009B5D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622F04" w:rsidRPr="008C53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5 100 190,19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CC03EA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622F04">
              <w:rPr>
                <w:rFonts w:ascii="Times New Roman" w:eastAsia="Calibri" w:hAnsi="Times New Roman" w:cs="Times New Roman"/>
                <w:sz w:val="18"/>
                <w:szCs w:val="18"/>
              </w:rPr>
              <w:t>5 100 190,19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22F04" w:rsidRPr="00A46A4F" w:rsidRDefault="00622F04" w:rsidP="009B5D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4ADF" w:rsidRPr="002858F2" w:rsidRDefault="008C530C" w:rsidP="00A2167B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38,87</w:t>
            </w:r>
          </w:p>
        </w:tc>
      </w:tr>
      <w:tr w:rsidR="00C44ADF" w:rsidTr="00C44ADF">
        <w:tc>
          <w:tcPr>
            <w:tcW w:w="4282" w:type="dxa"/>
          </w:tcPr>
          <w:p w:rsidR="00C44ADF" w:rsidRPr="00B52344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44ADF" w:rsidRDefault="00C44ADF" w:rsidP="00714B1A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03 3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C44ADF" w:rsidRDefault="00C44ADF" w:rsidP="00714B1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ADF" w:rsidRPr="001D14AC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4A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14 806 555,66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8 494 090,00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123 470,00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6 188 995,66</w:t>
            </w:r>
          </w:p>
        </w:tc>
        <w:tc>
          <w:tcPr>
            <w:tcW w:w="1560" w:type="dxa"/>
          </w:tcPr>
          <w:p w:rsidR="00C44ADF" w:rsidRP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22F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21 827 405,66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15 514 940,00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123 470,00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6 188 995,66</w:t>
            </w:r>
          </w:p>
          <w:p w:rsidR="00622F04" w:rsidRPr="00A46A4F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4ADF" w:rsidRPr="00622F04" w:rsidRDefault="00CC03EA" w:rsidP="00B204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622F04" w:rsidRPr="00622F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7 020 850,00</w:t>
            </w: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CC03EA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622F04">
              <w:rPr>
                <w:rFonts w:ascii="Times New Roman" w:eastAsia="Calibri" w:hAnsi="Times New Roman" w:cs="Times New Roman"/>
                <w:sz w:val="18"/>
                <w:szCs w:val="18"/>
              </w:rPr>
              <w:t>7 020 850,00</w:t>
            </w: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Pr="00A46A4F" w:rsidRDefault="00622F04" w:rsidP="00B204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44ADF" w:rsidRPr="002858F2" w:rsidRDefault="008C530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1,28</w:t>
            </w:r>
          </w:p>
        </w:tc>
      </w:tr>
      <w:tr w:rsidR="00C44ADF" w:rsidTr="00E71BE4">
        <w:trPr>
          <w:trHeight w:val="2001"/>
        </w:trPr>
        <w:tc>
          <w:tcPr>
            <w:tcW w:w="4282" w:type="dxa"/>
            <w:tcBorders>
              <w:bottom w:val="single" w:sz="4" w:space="0" w:color="auto"/>
            </w:tcBorders>
          </w:tcPr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районе Ставропольского края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C44ADF" w:rsidRDefault="00C44ADF" w:rsidP="00714B1A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 поддержка конкуренции и формирование благоприятного инвестиционного климата»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714B1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C44ADF" w:rsidRDefault="00C44ADF" w:rsidP="00714B1A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C44ADF" w:rsidRDefault="00C44ADF" w:rsidP="00714B1A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округе Ставропольского   края, в том числе в многофункциональном</w:t>
            </w:r>
          </w:p>
          <w:p w:rsidR="00C44ADF" w:rsidRDefault="00C44ADF" w:rsidP="00714B1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Pr="007706AF" w:rsidRDefault="00C44ADF" w:rsidP="007706A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7706A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«Профилактика </w:t>
            </w:r>
            <w:proofErr w:type="gramStart"/>
            <w:r w:rsidRPr="007706A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терроризма  и</w:t>
            </w:r>
            <w:proofErr w:type="gramEnd"/>
            <w:r w:rsidRPr="007706A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C44ADF" w:rsidRPr="007706A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BC6A8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C705CE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</w:t>
            </w:r>
          </w:p>
          <w:p w:rsidR="00C44ADF" w:rsidRDefault="00C44ADF" w:rsidP="00C705CE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земельных отношений»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04 7 «Развитие физической культуры и спорта»</w:t>
            </w:r>
          </w:p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1D14A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8 «Молодежная политика»</w:t>
            </w:r>
          </w:p>
          <w:p w:rsidR="00C44ADF" w:rsidRDefault="00C44ADF" w:rsidP="00C705CE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C705CE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9 «Обеспечение реализации программы «Осуществление местного самоуправления в </w:t>
            </w:r>
          </w:p>
          <w:p w:rsidR="00C44ADF" w:rsidRDefault="00C44ADF" w:rsidP="00C705CE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Благодарненском городском округе Ставропольского края»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ADF" w:rsidRPr="001D14AC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14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178 005 401,97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13 457 302,40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80 302 705,99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24 046 376,38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763 858,00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16 355 214,70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2 461 282,71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38 045 151,79</w:t>
            </w:r>
          </w:p>
          <w:p w:rsidR="00C44ADF" w:rsidRPr="007706A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4ADF" w:rsidRPr="00E71BE4" w:rsidRDefault="00622F04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71B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180 860 419,05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90 000,00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13 457 302,40</w:t>
            </w: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83 157 723,07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24 046 376,38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763 858,00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16 355 214,70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2 461 282,71</w:t>
            </w: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622F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38 045 151,79</w:t>
            </w:r>
          </w:p>
          <w:p w:rsidR="00622F04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Pr="00A46A4F" w:rsidRDefault="00622F0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ADF" w:rsidRPr="00E71BE4" w:rsidRDefault="00CC03EA" w:rsidP="003426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+</w:t>
            </w:r>
            <w:r w:rsidR="00622F04" w:rsidRPr="00E71B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2 855 017,08</w:t>
            </w: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2F04" w:rsidRDefault="00622F0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CC03EA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E71BE4">
              <w:rPr>
                <w:rFonts w:ascii="Times New Roman" w:eastAsia="Calibri" w:hAnsi="Times New Roman" w:cs="Times New Roman"/>
                <w:sz w:val="18"/>
                <w:szCs w:val="18"/>
              </w:rPr>
              <w:t>2 855 017,08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Pr="00A46A4F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ADF" w:rsidRPr="008B0AD7" w:rsidRDefault="008C530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10,60</w:t>
            </w:r>
          </w:p>
        </w:tc>
      </w:tr>
      <w:tr w:rsidR="00C44ADF" w:rsidTr="00E71BE4">
        <w:trPr>
          <w:trHeight w:val="1278"/>
        </w:trPr>
        <w:tc>
          <w:tcPr>
            <w:tcW w:w="4282" w:type="dxa"/>
            <w:tcBorders>
              <w:bottom w:val="single" w:sz="4" w:space="0" w:color="auto"/>
            </w:tcBorders>
          </w:tcPr>
          <w:p w:rsidR="00E71BE4" w:rsidRDefault="00E71BE4" w:rsidP="00E71BE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05. Формирование современной городской среды на 2018-2022 годы</w:t>
            </w:r>
          </w:p>
          <w:p w:rsidR="00E71BE4" w:rsidRPr="00E71BE4" w:rsidRDefault="00E71BE4" w:rsidP="00E71BE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E71BE4" w:rsidRPr="00E71BE4" w:rsidRDefault="00E71BE4" w:rsidP="00E71BE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71B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городская среда</w:t>
            </w:r>
          </w:p>
          <w:p w:rsidR="00C44ADF" w:rsidRPr="00A46A4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ADF" w:rsidRDefault="00E71BE4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E71BE4" w:rsidRDefault="00E71BE4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71BE4" w:rsidRDefault="00E71BE4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E71BE4" w:rsidRPr="00E71BE4" w:rsidRDefault="00E71BE4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1BE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Pr="001D14AC" w:rsidRDefault="00E71BE4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4ADF" w:rsidRP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71B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74 891 579,39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Pr="00A46A4F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74 891 579,39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ADF" w:rsidRPr="00E71BE4" w:rsidRDefault="00CC03EA" w:rsidP="003426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E71BE4" w:rsidRPr="00E71B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74 891 579,39</w:t>
            </w: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Pr="00A46A4F" w:rsidRDefault="00CC03EA" w:rsidP="00342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E71BE4">
              <w:rPr>
                <w:rFonts w:ascii="Times New Roman" w:eastAsia="Calibri" w:hAnsi="Times New Roman" w:cs="Times New Roman"/>
                <w:sz w:val="18"/>
                <w:szCs w:val="18"/>
              </w:rPr>
              <w:t>74 891 579,39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ADF" w:rsidRPr="008B0AD7" w:rsidRDefault="008C530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4,39</w:t>
            </w:r>
          </w:p>
        </w:tc>
      </w:tr>
      <w:tr w:rsidR="00C44ADF" w:rsidTr="00C44ADF">
        <w:trPr>
          <w:trHeight w:val="2571"/>
        </w:trPr>
        <w:tc>
          <w:tcPr>
            <w:tcW w:w="4282" w:type="dxa"/>
            <w:tcBorders>
              <w:bottom w:val="single" w:sz="4" w:space="0" w:color="auto"/>
            </w:tcBorders>
          </w:tcPr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06. Развитие жилищно-коммунального хозяйств</w:t>
            </w:r>
            <w:r w:rsidR="00E71BE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и дорожной инфраструктуры</w:t>
            </w: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7127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1 «Развитие дорожной сети автомобильных дорог общего поль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зования и обеспечение безопасност</w:t>
            </w:r>
            <w:r w:rsidRPr="00271272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 дорожного движения»</w:t>
            </w: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2 «Развитие коммунального хозяйства»</w:t>
            </w: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3 «Благоустройство территории Благодарненского городского округа»</w:t>
            </w:r>
          </w:p>
          <w:p w:rsidR="00C44ADF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Pr="00271272" w:rsidRDefault="00C44ADF" w:rsidP="00271272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06 4 «Обеспечение реализации программы «Развитие жилищно-коммунального хозяйства и дорожной инфраструктуры»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189 595 161,56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1272">
              <w:rPr>
                <w:rFonts w:ascii="Times New Roman" w:eastAsia="Calibri" w:hAnsi="Times New Roman" w:cs="Times New Roman"/>
                <w:sz w:val="18"/>
                <w:szCs w:val="18"/>
              </w:rPr>
              <w:t>151 200 824,00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1 745 000,00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17 846 314,76</w:t>
            </w: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271272" w:rsidRDefault="00C44ADF" w:rsidP="007706A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18 803 022,80</w:t>
            </w:r>
          </w:p>
          <w:p w:rsidR="00C44ADF" w:rsidRPr="001D14AC" w:rsidRDefault="00C44ADF" w:rsidP="007706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4ADF" w:rsidRPr="007416CA" w:rsidRDefault="00E71BE4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416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207 805 687,88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151 200 824,00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1 745 000,00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36 056 841,08</w:t>
            </w: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A46A4F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18 803 022,80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ADF" w:rsidRPr="007416CA" w:rsidRDefault="00CC03EA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E71BE4" w:rsidRPr="007416C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18 210 526,32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E71BE4" w:rsidRDefault="00E71BE4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1BE4" w:rsidRDefault="00CC03E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E71BE4">
              <w:rPr>
                <w:rFonts w:ascii="Times New Roman" w:eastAsia="Calibri" w:hAnsi="Times New Roman" w:cs="Times New Roman"/>
                <w:sz w:val="18"/>
                <w:szCs w:val="18"/>
              </w:rPr>
              <w:t>18 210 526,32</w:t>
            </w: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A46A4F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4ADF" w:rsidRPr="008B0AD7" w:rsidRDefault="008C530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12,18</w:t>
            </w:r>
          </w:p>
        </w:tc>
      </w:tr>
      <w:tr w:rsidR="00C44ADF" w:rsidTr="00C44ADF">
        <w:trPr>
          <w:trHeight w:val="513"/>
        </w:trPr>
        <w:tc>
          <w:tcPr>
            <w:tcW w:w="4282" w:type="dxa"/>
            <w:tcBorders>
              <w:bottom w:val="nil"/>
              <w:right w:val="single" w:sz="4" w:space="0" w:color="auto"/>
            </w:tcBorders>
          </w:tcPr>
          <w:p w:rsidR="00C44ADF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расходы,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C44ADF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145 325 001,07</w:t>
            </w: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Default="00C44ADF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44ADF" w:rsidRPr="0060525B" w:rsidRDefault="00C44ADF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8C530C" w:rsidRDefault="007416CA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53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179 625 456,58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8C530C" w:rsidRDefault="00CC03EA" w:rsidP="004B666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8C530C" w:rsidRPr="008C53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34 300 455,51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322078" w:rsidRDefault="008C530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10,53</w:t>
            </w:r>
          </w:p>
        </w:tc>
      </w:tr>
      <w:tr w:rsidR="00C44ADF" w:rsidTr="00C44ADF">
        <w:trPr>
          <w:trHeight w:val="843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EB55FF" w:rsidRDefault="00C44ADF" w:rsidP="00EB55FF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55F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60 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EB55FF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7 195 930,13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7 195 930,13</w:t>
            </w: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993171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993171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322078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4ADF" w:rsidTr="00C44ADF">
        <w:trPr>
          <w:trHeight w:val="1019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C44ADF" w:rsidP="005C0E0E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 Ставропольского края</w:t>
            </w:r>
          </w:p>
          <w:p w:rsidR="00C44ADF" w:rsidRDefault="00C44ADF" w:rsidP="005C0E0E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104503">
            <w:pPr>
              <w:ind w:right="33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63Обеспечение деятельности Финансового управления администрации Благодарненского городского округа Ставропольского края</w:t>
            </w:r>
          </w:p>
          <w:p w:rsidR="00C44ADF" w:rsidRPr="005C0E0E" w:rsidRDefault="00C44ADF" w:rsidP="00104503">
            <w:pPr>
              <w:ind w:righ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72 228 173,67</w:t>
            </w: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29 418 197,38</w:t>
            </w: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Pr="005C0E0E" w:rsidRDefault="00C44ADF" w:rsidP="005C0E0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73 118 422,00</w:t>
            </w: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093EEB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29 418 197,38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Default="00CC03E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7416CA">
              <w:rPr>
                <w:rFonts w:ascii="Times New Roman" w:eastAsia="Calibri" w:hAnsi="Times New Roman" w:cs="Times New Roman"/>
                <w:sz w:val="18"/>
                <w:szCs w:val="18"/>
              </w:rPr>
              <w:t>890 248,33</w:t>
            </w: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416CA" w:rsidRPr="00093EEB" w:rsidRDefault="007416C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ADF" w:rsidRPr="00322078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4ADF" w:rsidTr="007416CA">
        <w:trPr>
          <w:trHeight w:val="51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F" w:rsidRDefault="00C44ADF" w:rsidP="00EB55FF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  <w:p w:rsidR="00C44ADF" w:rsidRDefault="00C44ADF" w:rsidP="00EB55FF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EB55FF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C44ADF" w:rsidRDefault="00C44ADF" w:rsidP="00EB55FF">
            <w:pPr>
              <w:ind w:right="-1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F" w:rsidRDefault="00C44ADF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36 482 699,89</w:t>
            </w:r>
          </w:p>
          <w:p w:rsidR="00C44ADF" w:rsidRDefault="00C44ADF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4ADF" w:rsidRDefault="00C44ADF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F" w:rsidRPr="00093EEB" w:rsidRDefault="007416CA" w:rsidP="008220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69 892 907,07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F" w:rsidRPr="00093EEB" w:rsidRDefault="00CC03EA" w:rsidP="004B66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7416CA">
              <w:rPr>
                <w:rFonts w:ascii="Times New Roman" w:eastAsia="Calibri" w:hAnsi="Times New Roman" w:cs="Times New Roman"/>
                <w:sz w:val="18"/>
                <w:szCs w:val="18"/>
              </w:rPr>
              <w:t>33 410 207,18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DF" w:rsidRPr="00322078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44ADF" w:rsidTr="00C44ADF">
        <w:trPr>
          <w:trHeight w:val="275"/>
        </w:trPr>
        <w:tc>
          <w:tcPr>
            <w:tcW w:w="4282" w:type="dxa"/>
            <w:tcBorders>
              <w:top w:val="single" w:sz="4" w:space="0" w:color="auto"/>
            </w:tcBorders>
          </w:tcPr>
          <w:p w:rsidR="00C44ADF" w:rsidRPr="008220D3" w:rsidRDefault="00C44ADF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4ADF" w:rsidRPr="0050700C" w:rsidRDefault="00C44ADF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1 563 004 157,82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4ADF" w:rsidRPr="004B6667" w:rsidRDefault="008C530C" w:rsidP="008220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1 705 583 526,31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4ADF" w:rsidRPr="004B6667" w:rsidRDefault="00CC03EA" w:rsidP="004B666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8C530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142 579 368,49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4ADF" w:rsidRPr="008B0AD7" w:rsidRDefault="0078377C" w:rsidP="008220D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1A47AF" w:rsidRDefault="001A47AF" w:rsidP="001A47AF">
      <w:pPr>
        <w:spacing w:after="0" w:line="240" w:lineRule="auto"/>
        <w:ind w:right="-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A47AF" w:rsidRDefault="001A47AF" w:rsidP="0091679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22078">
        <w:rPr>
          <w:rFonts w:ascii="Times New Roman" w:eastAsia="Calibri" w:hAnsi="Times New Roman" w:cs="Times New Roman"/>
          <w:sz w:val="28"/>
          <w:szCs w:val="28"/>
        </w:rPr>
        <w:t>Наибольший объем рас</w:t>
      </w:r>
      <w:r w:rsidRPr="001A47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ходов закреплен за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</w:t>
      </w:r>
      <w:r w:rsidR="0032207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«Развитие образования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молодежной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(удельный вес в общей сумме расходов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35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около</w:t>
      </w:r>
      <w:r w:rsidR="0010450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40</w:t>
      </w:r>
      <w:r w:rsidR="0032207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5F8E" w:rsidRPr="00365D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процентов)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</w:t>
      </w:r>
      <w:r w:rsidRPr="001A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Благодарнеского </w:t>
      </w:r>
      <w:r w:rsidR="00E25E3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«Социальн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ая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44E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поддержка</w:t>
      </w:r>
      <w:r w:rsidRPr="001A47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граждан»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2A357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22,00 процента</w:t>
      </w:r>
      <w:r w:rsidR="00105F8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).</w:t>
      </w:r>
    </w:p>
    <w:p w:rsidR="00F25BBF" w:rsidRPr="00F25BBF" w:rsidRDefault="001718E8" w:rsidP="002A357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о бюджете по отношению к первоначально представленному проекту о бюджете </w:t>
      </w:r>
      <w:r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размер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дефицита (-) / профицита (+) </w:t>
      </w:r>
      <w:r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местного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бюджета</w:t>
      </w:r>
      <w:r w:rsidR="00F25BBF" w:rsidRPr="00F25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изменился и</w:t>
      </w: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 в сумме 0,00 руб.</w:t>
      </w:r>
    </w:p>
    <w:p w:rsidR="001718E8" w:rsidRDefault="001718E8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3C7B" w:rsidRPr="00365DA5" w:rsidRDefault="00D93C7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1718E8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201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A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 w:rsidR="0091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007AE4" w:rsidRDefault="00365DA5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 w:rsidR="002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2B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29B0" w:rsidRPr="00365DA5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3594"/>
      </w:tblGrid>
      <w:tr w:rsidR="00007AE4" w:rsidRPr="00365DA5" w:rsidTr="00B3549A">
        <w:tc>
          <w:tcPr>
            <w:tcW w:w="6345" w:type="dxa"/>
          </w:tcPr>
          <w:p w:rsidR="00322078" w:rsidRDefault="00322078" w:rsidP="00007AE4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007AE4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7AE4" w:rsidRPr="00365DA5" w:rsidRDefault="00007AE4" w:rsidP="00D93C7B">
            <w:pPr>
              <w:spacing w:line="312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29B0" w:rsidRDefault="00365DA5" w:rsidP="00A216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A2167B" w:rsidRPr="00365DA5" w:rsidRDefault="00E029B0" w:rsidP="00E029B0">
            <w:pPr>
              <w:ind w:left="2052" w:hanging="205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FC66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F6CD4">
      <w:headerReference w:type="default" r:id="rId8"/>
      <w:pgSz w:w="11906" w:h="16838"/>
      <w:pgMar w:top="709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C4" w:rsidRDefault="00D74EC4" w:rsidP="00BA44E4">
      <w:pPr>
        <w:spacing w:after="0" w:line="240" w:lineRule="auto"/>
      </w:pPr>
      <w:r>
        <w:separator/>
      </w:r>
    </w:p>
  </w:endnote>
  <w:endnote w:type="continuationSeparator" w:id="0">
    <w:p w:rsidR="00D74EC4" w:rsidRDefault="00D74EC4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C4" w:rsidRDefault="00D74EC4" w:rsidP="00BA44E4">
      <w:pPr>
        <w:spacing w:after="0" w:line="240" w:lineRule="auto"/>
      </w:pPr>
      <w:r>
        <w:separator/>
      </w:r>
    </w:p>
  </w:footnote>
  <w:footnote w:type="continuationSeparator" w:id="0">
    <w:p w:rsidR="00D74EC4" w:rsidRDefault="00D74EC4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805257"/>
      <w:docPartObj>
        <w:docPartGallery w:val="Page Numbers (Top of Page)"/>
        <w:docPartUnique/>
      </w:docPartObj>
    </w:sdtPr>
    <w:sdtEndPr/>
    <w:sdtContent>
      <w:p w:rsidR="00755694" w:rsidRDefault="0075569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5694" w:rsidRDefault="007556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7AE4"/>
    <w:rsid w:val="0002555A"/>
    <w:rsid w:val="00054572"/>
    <w:rsid w:val="00056BEB"/>
    <w:rsid w:val="00057F9D"/>
    <w:rsid w:val="0006643B"/>
    <w:rsid w:val="00070494"/>
    <w:rsid w:val="000719E8"/>
    <w:rsid w:val="000845DC"/>
    <w:rsid w:val="00093EEB"/>
    <w:rsid w:val="0009656B"/>
    <w:rsid w:val="000A247F"/>
    <w:rsid w:val="000A2B14"/>
    <w:rsid w:val="000B6806"/>
    <w:rsid w:val="000D3F0A"/>
    <w:rsid w:val="000D4E6A"/>
    <w:rsid w:val="000D5E74"/>
    <w:rsid w:val="00104503"/>
    <w:rsid w:val="00105903"/>
    <w:rsid w:val="00105F8E"/>
    <w:rsid w:val="00107818"/>
    <w:rsid w:val="00122AE2"/>
    <w:rsid w:val="00132FF6"/>
    <w:rsid w:val="0014628C"/>
    <w:rsid w:val="00162607"/>
    <w:rsid w:val="00163E10"/>
    <w:rsid w:val="00167BE1"/>
    <w:rsid w:val="001707DA"/>
    <w:rsid w:val="00170CEC"/>
    <w:rsid w:val="001718E8"/>
    <w:rsid w:val="00187D32"/>
    <w:rsid w:val="00190521"/>
    <w:rsid w:val="0019114C"/>
    <w:rsid w:val="00193871"/>
    <w:rsid w:val="001A47AF"/>
    <w:rsid w:val="001B0618"/>
    <w:rsid w:val="001B24E5"/>
    <w:rsid w:val="001C4EF0"/>
    <w:rsid w:val="001D14AC"/>
    <w:rsid w:val="001E1F0E"/>
    <w:rsid w:val="001E4317"/>
    <w:rsid w:val="001F4C44"/>
    <w:rsid w:val="001F57CE"/>
    <w:rsid w:val="001F748A"/>
    <w:rsid w:val="00204027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1092"/>
    <w:rsid w:val="002A21AD"/>
    <w:rsid w:val="002A3570"/>
    <w:rsid w:val="002B0417"/>
    <w:rsid w:val="002B2BF6"/>
    <w:rsid w:val="002B4F8D"/>
    <w:rsid w:val="002C0C84"/>
    <w:rsid w:val="002C2DC5"/>
    <w:rsid w:val="002C7FA9"/>
    <w:rsid w:val="002D1C19"/>
    <w:rsid w:val="002E3B20"/>
    <w:rsid w:val="002F486A"/>
    <w:rsid w:val="003015BF"/>
    <w:rsid w:val="003204A0"/>
    <w:rsid w:val="00322078"/>
    <w:rsid w:val="00326955"/>
    <w:rsid w:val="003373D2"/>
    <w:rsid w:val="003426F7"/>
    <w:rsid w:val="00342AA0"/>
    <w:rsid w:val="00345CFA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6500"/>
    <w:rsid w:val="003B1E43"/>
    <w:rsid w:val="003C3734"/>
    <w:rsid w:val="003D2258"/>
    <w:rsid w:val="003D2D27"/>
    <w:rsid w:val="003D3B29"/>
    <w:rsid w:val="003E43A3"/>
    <w:rsid w:val="003F6CD4"/>
    <w:rsid w:val="00401EF2"/>
    <w:rsid w:val="00410265"/>
    <w:rsid w:val="00415BBA"/>
    <w:rsid w:val="004235BF"/>
    <w:rsid w:val="00423E8A"/>
    <w:rsid w:val="00424F72"/>
    <w:rsid w:val="0042673E"/>
    <w:rsid w:val="00434E95"/>
    <w:rsid w:val="00440F53"/>
    <w:rsid w:val="004440A1"/>
    <w:rsid w:val="004530CD"/>
    <w:rsid w:val="00454D16"/>
    <w:rsid w:val="0046062D"/>
    <w:rsid w:val="004626C4"/>
    <w:rsid w:val="0047346F"/>
    <w:rsid w:val="00484054"/>
    <w:rsid w:val="00490E56"/>
    <w:rsid w:val="0049246E"/>
    <w:rsid w:val="00494782"/>
    <w:rsid w:val="004A2CA0"/>
    <w:rsid w:val="004B2262"/>
    <w:rsid w:val="004B6667"/>
    <w:rsid w:val="004C48B1"/>
    <w:rsid w:val="004D6D1C"/>
    <w:rsid w:val="004E01D5"/>
    <w:rsid w:val="004E4F46"/>
    <w:rsid w:val="004F22F2"/>
    <w:rsid w:val="0050700C"/>
    <w:rsid w:val="00511CDF"/>
    <w:rsid w:val="00512FE4"/>
    <w:rsid w:val="00523BE6"/>
    <w:rsid w:val="00534450"/>
    <w:rsid w:val="00547FAA"/>
    <w:rsid w:val="00561B9F"/>
    <w:rsid w:val="005661EF"/>
    <w:rsid w:val="00580CCF"/>
    <w:rsid w:val="0059292D"/>
    <w:rsid w:val="005A6397"/>
    <w:rsid w:val="005A6766"/>
    <w:rsid w:val="005B17E1"/>
    <w:rsid w:val="005C0E0E"/>
    <w:rsid w:val="005D4042"/>
    <w:rsid w:val="005E0769"/>
    <w:rsid w:val="005F2596"/>
    <w:rsid w:val="0060525B"/>
    <w:rsid w:val="006067CA"/>
    <w:rsid w:val="0061030B"/>
    <w:rsid w:val="00610614"/>
    <w:rsid w:val="00620F22"/>
    <w:rsid w:val="00622F04"/>
    <w:rsid w:val="00626579"/>
    <w:rsid w:val="006314C2"/>
    <w:rsid w:val="00637061"/>
    <w:rsid w:val="00652E8A"/>
    <w:rsid w:val="006542D3"/>
    <w:rsid w:val="006677BB"/>
    <w:rsid w:val="00671CF5"/>
    <w:rsid w:val="00673D01"/>
    <w:rsid w:val="00674703"/>
    <w:rsid w:val="00681A2B"/>
    <w:rsid w:val="00682D7F"/>
    <w:rsid w:val="00686186"/>
    <w:rsid w:val="00691329"/>
    <w:rsid w:val="00692BD4"/>
    <w:rsid w:val="0069530A"/>
    <w:rsid w:val="006A143B"/>
    <w:rsid w:val="006A3DFE"/>
    <w:rsid w:val="006A677B"/>
    <w:rsid w:val="006B33C3"/>
    <w:rsid w:val="006B5F35"/>
    <w:rsid w:val="006B60AC"/>
    <w:rsid w:val="006C2C7A"/>
    <w:rsid w:val="006C3658"/>
    <w:rsid w:val="006C427A"/>
    <w:rsid w:val="006C79DA"/>
    <w:rsid w:val="006E0365"/>
    <w:rsid w:val="00705433"/>
    <w:rsid w:val="00707E8F"/>
    <w:rsid w:val="007119BE"/>
    <w:rsid w:val="00714B1A"/>
    <w:rsid w:val="00715373"/>
    <w:rsid w:val="00723867"/>
    <w:rsid w:val="00727728"/>
    <w:rsid w:val="007339C2"/>
    <w:rsid w:val="00733D29"/>
    <w:rsid w:val="007348A8"/>
    <w:rsid w:val="007416CA"/>
    <w:rsid w:val="00745968"/>
    <w:rsid w:val="00746C1C"/>
    <w:rsid w:val="00747A04"/>
    <w:rsid w:val="00750990"/>
    <w:rsid w:val="00755694"/>
    <w:rsid w:val="00764065"/>
    <w:rsid w:val="00764FC8"/>
    <w:rsid w:val="007706AF"/>
    <w:rsid w:val="007732BD"/>
    <w:rsid w:val="00775040"/>
    <w:rsid w:val="00782383"/>
    <w:rsid w:val="0078377C"/>
    <w:rsid w:val="0079079A"/>
    <w:rsid w:val="00791D33"/>
    <w:rsid w:val="007A2657"/>
    <w:rsid w:val="007C6D92"/>
    <w:rsid w:val="007D136B"/>
    <w:rsid w:val="007D2A29"/>
    <w:rsid w:val="007E028E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57D48"/>
    <w:rsid w:val="00867803"/>
    <w:rsid w:val="008778DC"/>
    <w:rsid w:val="00882111"/>
    <w:rsid w:val="00885EB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C530C"/>
    <w:rsid w:val="008D241B"/>
    <w:rsid w:val="008D62FA"/>
    <w:rsid w:val="008E1792"/>
    <w:rsid w:val="008F4BF3"/>
    <w:rsid w:val="009000B8"/>
    <w:rsid w:val="00903170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49"/>
    <w:rsid w:val="00973671"/>
    <w:rsid w:val="00973686"/>
    <w:rsid w:val="009738C2"/>
    <w:rsid w:val="009754D2"/>
    <w:rsid w:val="00976248"/>
    <w:rsid w:val="0098295E"/>
    <w:rsid w:val="00993171"/>
    <w:rsid w:val="00993626"/>
    <w:rsid w:val="009A0707"/>
    <w:rsid w:val="009B3A17"/>
    <w:rsid w:val="009B5D17"/>
    <w:rsid w:val="009C5201"/>
    <w:rsid w:val="009C7CCE"/>
    <w:rsid w:val="009D11CC"/>
    <w:rsid w:val="009D2104"/>
    <w:rsid w:val="009D259A"/>
    <w:rsid w:val="009E2445"/>
    <w:rsid w:val="00A116B7"/>
    <w:rsid w:val="00A13C10"/>
    <w:rsid w:val="00A2167B"/>
    <w:rsid w:val="00A24A51"/>
    <w:rsid w:val="00A33958"/>
    <w:rsid w:val="00A36871"/>
    <w:rsid w:val="00A43ED3"/>
    <w:rsid w:val="00A45B18"/>
    <w:rsid w:val="00A46A4F"/>
    <w:rsid w:val="00A55AEB"/>
    <w:rsid w:val="00A7497B"/>
    <w:rsid w:val="00A8689A"/>
    <w:rsid w:val="00AB0119"/>
    <w:rsid w:val="00AB2954"/>
    <w:rsid w:val="00AB48D4"/>
    <w:rsid w:val="00AC1728"/>
    <w:rsid w:val="00AC31D4"/>
    <w:rsid w:val="00AC473A"/>
    <w:rsid w:val="00AC6F7E"/>
    <w:rsid w:val="00AC707F"/>
    <w:rsid w:val="00AD5964"/>
    <w:rsid w:val="00AF4A36"/>
    <w:rsid w:val="00B07948"/>
    <w:rsid w:val="00B10AE1"/>
    <w:rsid w:val="00B10D8B"/>
    <w:rsid w:val="00B12500"/>
    <w:rsid w:val="00B14BD7"/>
    <w:rsid w:val="00B16C19"/>
    <w:rsid w:val="00B204CA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8193F"/>
    <w:rsid w:val="00B836B2"/>
    <w:rsid w:val="00BA1193"/>
    <w:rsid w:val="00BA44E4"/>
    <w:rsid w:val="00BB4C25"/>
    <w:rsid w:val="00BC0657"/>
    <w:rsid w:val="00BC6A80"/>
    <w:rsid w:val="00BD33D5"/>
    <w:rsid w:val="00BD3EAC"/>
    <w:rsid w:val="00BE3ED8"/>
    <w:rsid w:val="00BE7A57"/>
    <w:rsid w:val="00BF78C4"/>
    <w:rsid w:val="00C214FC"/>
    <w:rsid w:val="00C41BF4"/>
    <w:rsid w:val="00C44ADF"/>
    <w:rsid w:val="00C44AF0"/>
    <w:rsid w:val="00C51146"/>
    <w:rsid w:val="00C64A63"/>
    <w:rsid w:val="00C705CE"/>
    <w:rsid w:val="00C71115"/>
    <w:rsid w:val="00C8181C"/>
    <w:rsid w:val="00CA35C3"/>
    <w:rsid w:val="00CA3C5B"/>
    <w:rsid w:val="00CA6FC1"/>
    <w:rsid w:val="00CB1E2C"/>
    <w:rsid w:val="00CC03EA"/>
    <w:rsid w:val="00CD5E8B"/>
    <w:rsid w:val="00CE3539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62F78"/>
    <w:rsid w:val="00D65B42"/>
    <w:rsid w:val="00D74EC4"/>
    <w:rsid w:val="00D75EF5"/>
    <w:rsid w:val="00D77EEA"/>
    <w:rsid w:val="00D86DED"/>
    <w:rsid w:val="00D90118"/>
    <w:rsid w:val="00D921B4"/>
    <w:rsid w:val="00D93C7B"/>
    <w:rsid w:val="00DA5B12"/>
    <w:rsid w:val="00DB3AFD"/>
    <w:rsid w:val="00DB733E"/>
    <w:rsid w:val="00DC41B7"/>
    <w:rsid w:val="00DD3054"/>
    <w:rsid w:val="00DD4911"/>
    <w:rsid w:val="00DD61A5"/>
    <w:rsid w:val="00DD6CED"/>
    <w:rsid w:val="00DE05C9"/>
    <w:rsid w:val="00DE10F9"/>
    <w:rsid w:val="00DF4C6F"/>
    <w:rsid w:val="00E026F6"/>
    <w:rsid w:val="00E029B0"/>
    <w:rsid w:val="00E035DE"/>
    <w:rsid w:val="00E0719A"/>
    <w:rsid w:val="00E1489D"/>
    <w:rsid w:val="00E154D6"/>
    <w:rsid w:val="00E24594"/>
    <w:rsid w:val="00E25815"/>
    <w:rsid w:val="00E25E32"/>
    <w:rsid w:val="00E264A8"/>
    <w:rsid w:val="00E37E92"/>
    <w:rsid w:val="00E45AF9"/>
    <w:rsid w:val="00E55938"/>
    <w:rsid w:val="00E71BE4"/>
    <w:rsid w:val="00E76FC0"/>
    <w:rsid w:val="00E81977"/>
    <w:rsid w:val="00E821F1"/>
    <w:rsid w:val="00E84FA4"/>
    <w:rsid w:val="00E84FF0"/>
    <w:rsid w:val="00E93336"/>
    <w:rsid w:val="00EA1E27"/>
    <w:rsid w:val="00EA601B"/>
    <w:rsid w:val="00EA77CE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F26A0"/>
    <w:rsid w:val="00EF3E1A"/>
    <w:rsid w:val="00EF583E"/>
    <w:rsid w:val="00EF6C5B"/>
    <w:rsid w:val="00F12366"/>
    <w:rsid w:val="00F209B9"/>
    <w:rsid w:val="00F24B70"/>
    <w:rsid w:val="00F25BBF"/>
    <w:rsid w:val="00F33F91"/>
    <w:rsid w:val="00F70F15"/>
    <w:rsid w:val="00F74C68"/>
    <w:rsid w:val="00F820E1"/>
    <w:rsid w:val="00F867B3"/>
    <w:rsid w:val="00FA6790"/>
    <w:rsid w:val="00FB0EEF"/>
    <w:rsid w:val="00FB18B2"/>
    <w:rsid w:val="00FB1E7D"/>
    <w:rsid w:val="00FB38FD"/>
    <w:rsid w:val="00FC66E8"/>
    <w:rsid w:val="00FE2375"/>
    <w:rsid w:val="00FE32E8"/>
    <w:rsid w:val="00FE3786"/>
    <w:rsid w:val="00FE4DAA"/>
    <w:rsid w:val="00FE762B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6922-5FEF-4111-BB94-73BC98AC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91</cp:revision>
  <cp:lastPrinted>2018-12-20T13:32:00Z</cp:lastPrinted>
  <dcterms:created xsi:type="dcterms:W3CDTF">2012-11-19T10:57:00Z</dcterms:created>
  <dcterms:modified xsi:type="dcterms:W3CDTF">2018-12-20T13:33:00Z</dcterms:modified>
</cp:coreProperties>
</file>