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октября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292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80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001DBB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="00101B65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1 910 090 570,67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65 850,00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2 025 489 474,09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65 850,00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и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>115 398 903,42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9026C" w:rsidRDefault="0039026C" w:rsidP="0039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изменений:</w:t>
      </w:r>
    </w:p>
    <w:p w:rsidR="0039026C" w:rsidRDefault="0039026C" w:rsidP="0039026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получаемых из краевого бюджета на 2020 год 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>1 574 268 910,98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>65 850,00 руб.).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2022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>1 910 090 570,67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>65 850,00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07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D1437B" w:rsidRDefault="00C64B71" w:rsidP="00D1437B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37B" w:rsidRPr="00D1437B">
        <w:rPr>
          <w:rFonts w:ascii="Times New Roman" w:hAnsi="Times New Roman" w:cs="Times New Roman"/>
          <w:spacing w:val="-2"/>
          <w:sz w:val="28"/>
          <w:szCs w:val="28"/>
        </w:rPr>
        <w:t>безвозмездных поступлений от других бюджетов бюджетной системы Российской Федерации в 2020 году</w:t>
      </w:r>
      <w:r w:rsidR="00D1437B">
        <w:rPr>
          <w:rFonts w:ascii="Times New Roman" w:hAnsi="Times New Roman" w:cs="Times New Roman"/>
          <w:spacing w:val="-2"/>
          <w:sz w:val="28"/>
          <w:szCs w:val="28"/>
        </w:rPr>
        <w:t>, в том числе:</w:t>
      </w:r>
    </w:p>
    <w:p w:rsidR="00D1437B" w:rsidRPr="00D1437B" w:rsidRDefault="00D1437B" w:rsidP="00D1437B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43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трансферты, передаваемые</w:t>
      </w:r>
      <w:r w:rsidRPr="00D1437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 увеличатся на 65 850,00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Pr="00D1437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B7B70" w:rsidRPr="002B7B70" w:rsidRDefault="002B7B70" w:rsidP="002B7B70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0343F" w:rsidRDefault="0090343F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4504B8" w:rsidRDefault="004504B8" w:rsidP="004504B8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04B8" w:rsidRDefault="004504B8" w:rsidP="004504B8">
      <w:pPr>
        <w:pStyle w:val="a5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расходной части бюджета Благодарненского городского округа Ставропольского края (далее – местный бюджет) на 2020 год предусмотрен в сумме </w:t>
      </w:r>
      <w:r w:rsidR="00CC32A6">
        <w:rPr>
          <w:rFonts w:ascii="Times New Roman" w:eastAsia="Times New Roman" w:hAnsi="Times New Roman" w:cs="Times New Roman"/>
          <w:sz w:val="28"/>
          <w:szCs w:val="28"/>
          <w:lang w:eastAsia="ru-RU"/>
        </w:rPr>
        <w:t>2 025 489 474,09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CC32A6">
        <w:rPr>
          <w:rFonts w:ascii="Times New Roman" w:eastAsia="Times New Roman" w:hAnsi="Times New Roman" w:cs="Times New Roman"/>
          <w:sz w:val="28"/>
          <w:szCs w:val="28"/>
          <w:lang w:eastAsia="ru-RU"/>
        </w:rPr>
        <w:t>65 850,00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CC32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назначений. 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2021 и 2022 годов объемы расходной части местного бюджета остаются без изменений. </w:t>
      </w:r>
    </w:p>
    <w:p w:rsidR="004504B8" w:rsidRDefault="00CC32A6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="0045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на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будут осуществлено за счет</w:t>
      </w:r>
      <w:r w:rsidR="0045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увеличения </w:t>
      </w:r>
      <w:r w:rsidR="0045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межбюджетных трансфертов, передаваемых бюджетам городских округов) на сумму</w:t>
      </w:r>
      <w:r w:rsidR="00450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65 850,00 руб.</w:t>
      </w:r>
    </w:p>
    <w:p w:rsidR="004504B8" w:rsidRDefault="00CC32A6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п</w:t>
      </w:r>
      <w:r w:rsidR="004504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расходам вносятся следующие изменения по муниципальным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местного бюджета на 2020 год</w:t>
      </w:r>
      <w:r w:rsidR="00434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350" w:rsidRDefault="004504B8" w:rsidP="00434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32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02 «Развитие образования</w:t>
      </w:r>
      <w:r w:rsidR="0096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молодежной политики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расходы</w:t>
      </w:r>
      <w:r w:rsidR="0096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2A6" w:rsidRPr="00CC32A6">
        <w:rPr>
          <w:rFonts w:ascii="Times New Roman" w:hAnsi="Times New Roman" w:cs="Times New Roman"/>
          <w:sz w:val="28"/>
          <w:szCs w:val="28"/>
        </w:rPr>
        <w:t>за счет увеличения межбюджетных трансфертов на 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</w:t>
      </w:r>
      <w:r w:rsidR="00CC32A6">
        <w:rPr>
          <w:rFonts w:ascii="Times New Roman" w:hAnsi="Times New Roman" w:cs="Times New Roman"/>
          <w:sz w:val="28"/>
          <w:szCs w:val="28"/>
        </w:rPr>
        <w:t xml:space="preserve">ганизациях Ставропольского края </w:t>
      </w:r>
      <w:r w:rsidR="00CC3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сумму 65 850,00 руб.</w:t>
      </w:r>
    </w:p>
    <w:p w:rsidR="004504B8" w:rsidRDefault="004504B8" w:rsidP="00434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</w:t>
      </w:r>
      <w:r w:rsidR="00965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965C28">
        <w:rPr>
          <w:rFonts w:ascii="Times New Roman" w:eastAsia="Times New Roman" w:hAnsi="Times New Roman" w:cs="Times New Roman"/>
          <w:sz w:val="28"/>
          <w:szCs w:val="28"/>
          <w:lang w:eastAsia="ru-RU"/>
        </w:rPr>
        <w:t>734 941 500,83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504B8" w:rsidRDefault="002853EE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450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5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="0045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14 000,00 руб.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средств между главными распорядителями бюджетных средств и направлениями расходов местного 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в 2020 году составят </w:t>
      </w:r>
      <w:r w:rsidR="002853EE">
        <w:rPr>
          <w:rFonts w:ascii="Times New Roman" w:eastAsia="Times New Roman" w:hAnsi="Times New Roman" w:cs="Times New Roman"/>
          <w:sz w:val="28"/>
          <w:szCs w:val="28"/>
          <w:lang w:eastAsia="ru-RU"/>
        </w:rPr>
        <w:t>237 673 012,02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4504B8" w:rsidRDefault="004504B8" w:rsidP="004504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</w:t>
      </w:r>
      <w:r w:rsidR="00285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285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50 000,00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285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="0028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средств между главными распорядителями бюджетных средств и направлениями расходов местного бюджета</w:t>
      </w:r>
      <w:r w:rsidR="00285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04B8" w:rsidRDefault="004504B8" w:rsidP="004504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расходов 61 0 00 00000 «Обеспечение деятельности администрации Благодарненского городского округа Ставропольского края» составят </w:t>
      </w:r>
      <w:r w:rsidR="002853EE">
        <w:rPr>
          <w:rFonts w:ascii="Times New Roman" w:eastAsia="Times New Roman" w:hAnsi="Times New Roman" w:cs="Times New Roman"/>
          <w:sz w:val="28"/>
          <w:szCs w:val="28"/>
          <w:lang w:eastAsia="ru-RU"/>
        </w:rPr>
        <w:t>46 960 003,66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4504B8" w:rsidRDefault="004504B8" w:rsidP="002853E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</w:t>
      </w:r>
      <w:r w:rsidR="00285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853EE">
        <w:rPr>
          <w:rFonts w:ascii="Times New Roman" w:eastAsia="Times New Roman" w:hAnsi="Times New Roman" w:cs="Times New Roman"/>
          <w:sz w:val="28"/>
          <w:szCs w:val="28"/>
          <w:lang w:eastAsia="ru-RU"/>
        </w:rPr>
        <w:t>64 000,00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28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перераспределения </w:t>
      </w:r>
      <w:r w:rsidR="00FA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главными распорядителями бюджетных средств и направлениями расходов местного бюджета.</w:t>
      </w:r>
    </w:p>
    <w:p w:rsidR="004504B8" w:rsidRDefault="004504B8" w:rsidP="004504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2020 году составят </w:t>
      </w:r>
      <w:r w:rsidR="00FA54C1">
        <w:rPr>
          <w:rFonts w:ascii="Times New Roman" w:eastAsia="Times New Roman" w:hAnsi="Times New Roman" w:cs="Times New Roman"/>
          <w:sz w:val="28"/>
          <w:szCs w:val="28"/>
          <w:lang w:eastAsia="ru-RU"/>
        </w:rPr>
        <w:t>77 106 648,64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504B8" w:rsidRDefault="004504B8" w:rsidP="004504B8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7B5D" w:rsidRDefault="00087B5D" w:rsidP="00087B5D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615005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1B8F" w:rsidRPr="001A72E4" w:rsidRDefault="006150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в сумме 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>1 910 090 570,67</w:t>
      </w:r>
      <w:r w:rsidR="00A355D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>65 850,00</w:t>
      </w:r>
      <w:r w:rsidR="00645DD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назначений. 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05" w:rsidRDefault="006150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>2 025 489 474,09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>65 850,00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C53" w:rsidRDefault="0068095E" w:rsidP="00703738">
      <w:pPr>
        <w:pStyle w:val="a5"/>
        <w:numPr>
          <w:ilvl w:val="0"/>
          <w:numId w:val="6"/>
        </w:numPr>
        <w:spacing w:after="0" w:line="200" w:lineRule="atLeast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Благодарненского городского округа Ставропольского края на 2020 год не изменится и составит 115 398 903,42 руб</w:t>
      </w:r>
      <w:r w:rsidR="001F4C53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E8E" w:rsidRPr="001F4C53" w:rsidRDefault="008B66BF" w:rsidP="00703738">
      <w:pPr>
        <w:pStyle w:val="a5"/>
        <w:numPr>
          <w:ilvl w:val="0"/>
          <w:numId w:val="6"/>
        </w:numPr>
        <w:spacing w:after="0" w:line="200" w:lineRule="atLeast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Благодарненского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087B5D">
        <w:trPr>
          <w:trHeight w:val="36"/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087B5D">
      <w:pPr>
        <w:rPr>
          <w:sz w:val="28"/>
          <w:szCs w:val="28"/>
        </w:rPr>
      </w:pPr>
    </w:p>
    <w:sectPr w:rsidR="001B40EA" w:rsidRPr="001A72E4" w:rsidSect="00087B5D">
      <w:headerReference w:type="default" r:id="rId8"/>
      <w:pgSz w:w="11906" w:h="16838" w:code="9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C8" w:rsidRDefault="00C660C8" w:rsidP="00D278E4">
      <w:pPr>
        <w:spacing w:after="0" w:line="240" w:lineRule="auto"/>
      </w:pPr>
      <w:r>
        <w:separator/>
      </w:r>
    </w:p>
  </w:endnote>
  <w:endnote w:type="continuationSeparator" w:id="0">
    <w:p w:rsidR="00C660C8" w:rsidRDefault="00C660C8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C8" w:rsidRDefault="00C660C8" w:rsidP="00D278E4">
      <w:pPr>
        <w:spacing w:after="0" w:line="240" w:lineRule="auto"/>
      </w:pPr>
      <w:r>
        <w:separator/>
      </w:r>
    </w:p>
  </w:footnote>
  <w:footnote w:type="continuationSeparator" w:id="0">
    <w:p w:rsidR="00C660C8" w:rsidRDefault="00C660C8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8006AF">
            <w:rPr>
              <w:noProof/>
              <w:color w:val="4F81BD" w:themeColor="accent1"/>
              <w:sz w:val="24"/>
              <w:szCs w:val="24"/>
            </w:rPr>
            <w:t>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7FB5"/>
    <w:rsid w:val="0007089E"/>
    <w:rsid w:val="0007194D"/>
    <w:rsid w:val="00075F34"/>
    <w:rsid w:val="0008134C"/>
    <w:rsid w:val="00085D98"/>
    <w:rsid w:val="00087B5D"/>
    <w:rsid w:val="00090C3A"/>
    <w:rsid w:val="000A2688"/>
    <w:rsid w:val="000A290D"/>
    <w:rsid w:val="000B084C"/>
    <w:rsid w:val="000C2D13"/>
    <w:rsid w:val="000D5B13"/>
    <w:rsid w:val="000F45AC"/>
    <w:rsid w:val="00101B65"/>
    <w:rsid w:val="001072B1"/>
    <w:rsid w:val="0011304C"/>
    <w:rsid w:val="00121496"/>
    <w:rsid w:val="00127496"/>
    <w:rsid w:val="00127B3B"/>
    <w:rsid w:val="001341CE"/>
    <w:rsid w:val="001348A6"/>
    <w:rsid w:val="00135F42"/>
    <w:rsid w:val="00144B77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D5398"/>
    <w:rsid w:val="001D75FA"/>
    <w:rsid w:val="001E2512"/>
    <w:rsid w:val="001E5AF8"/>
    <w:rsid w:val="001F0B4A"/>
    <w:rsid w:val="001F4732"/>
    <w:rsid w:val="001F4C53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A7EBC"/>
    <w:rsid w:val="002B2B03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C7415"/>
    <w:rsid w:val="003E4A4B"/>
    <w:rsid w:val="003F65A1"/>
    <w:rsid w:val="003F6D37"/>
    <w:rsid w:val="003F7234"/>
    <w:rsid w:val="004139AF"/>
    <w:rsid w:val="00414B38"/>
    <w:rsid w:val="00421C96"/>
    <w:rsid w:val="004238BD"/>
    <w:rsid w:val="00434350"/>
    <w:rsid w:val="004355D0"/>
    <w:rsid w:val="00437FB6"/>
    <w:rsid w:val="00445FB5"/>
    <w:rsid w:val="004504B8"/>
    <w:rsid w:val="004521BF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25BC"/>
    <w:rsid w:val="004E311B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32F30"/>
    <w:rsid w:val="005353C7"/>
    <w:rsid w:val="00542D36"/>
    <w:rsid w:val="005448D1"/>
    <w:rsid w:val="00546E9A"/>
    <w:rsid w:val="00550F8F"/>
    <w:rsid w:val="005552B8"/>
    <w:rsid w:val="00574E01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7041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2B49"/>
    <w:rsid w:val="00655C02"/>
    <w:rsid w:val="00664B0A"/>
    <w:rsid w:val="00665FBC"/>
    <w:rsid w:val="00671859"/>
    <w:rsid w:val="0068095E"/>
    <w:rsid w:val="00685296"/>
    <w:rsid w:val="00685A22"/>
    <w:rsid w:val="006863CF"/>
    <w:rsid w:val="00692A67"/>
    <w:rsid w:val="006A2E07"/>
    <w:rsid w:val="006A3A5B"/>
    <w:rsid w:val="006B0162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704AA6"/>
    <w:rsid w:val="0071098F"/>
    <w:rsid w:val="007122A0"/>
    <w:rsid w:val="00721AED"/>
    <w:rsid w:val="007278B3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7963"/>
    <w:rsid w:val="00763D54"/>
    <w:rsid w:val="0077634C"/>
    <w:rsid w:val="00780DED"/>
    <w:rsid w:val="00782FF0"/>
    <w:rsid w:val="00784819"/>
    <w:rsid w:val="007969B3"/>
    <w:rsid w:val="0079751D"/>
    <w:rsid w:val="007A2B68"/>
    <w:rsid w:val="007C201F"/>
    <w:rsid w:val="007E353C"/>
    <w:rsid w:val="007E4044"/>
    <w:rsid w:val="007E7518"/>
    <w:rsid w:val="007F7234"/>
    <w:rsid w:val="008006AF"/>
    <w:rsid w:val="00800CA9"/>
    <w:rsid w:val="008015BC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67B4F"/>
    <w:rsid w:val="008723D0"/>
    <w:rsid w:val="00873960"/>
    <w:rsid w:val="0088263A"/>
    <w:rsid w:val="008853B1"/>
    <w:rsid w:val="008B66BF"/>
    <w:rsid w:val="008B7899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F78"/>
    <w:rsid w:val="00925BCE"/>
    <w:rsid w:val="00930437"/>
    <w:rsid w:val="00931B0D"/>
    <w:rsid w:val="009332BF"/>
    <w:rsid w:val="00934C93"/>
    <w:rsid w:val="00941004"/>
    <w:rsid w:val="00941237"/>
    <w:rsid w:val="00950744"/>
    <w:rsid w:val="00954519"/>
    <w:rsid w:val="00955E21"/>
    <w:rsid w:val="0096062B"/>
    <w:rsid w:val="009647D2"/>
    <w:rsid w:val="00965C28"/>
    <w:rsid w:val="009668C2"/>
    <w:rsid w:val="00973E8D"/>
    <w:rsid w:val="00974A2A"/>
    <w:rsid w:val="009759F4"/>
    <w:rsid w:val="00990538"/>
    <w:rsid w:val="009A6B77"/>
    <w:rsid w:val="009A7066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6677"/>
    <w:rsid w:val="00A10122"/>
    <w:rsid w:val="00A13C01"/>
    <w:rsid w:val="00A1574A"/>
    <w:rsid w:val="00A23AA2"/>
    <w:rsid w:val="00A309AD"/>
    <w:rsid w:val="00A30F3D"/>
    <w:rsid w:val="00A355DA"/>
    <w:rsid w:val="00A365E8"/>
    <w:rsid w:val="00A36834"/>
    <w:rsid w:val="00A4059F"/>
    <w:rsid w:val="00A438AE"/>
    <w:rsid w:val="00A51CAA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C9A"/>
    <w:rsid w:val="00AD0368"/>
    <w:rsid w:val="00AD1433"/>
    <w:rsid w:val="00AE18FE"/>
    <w:rsid w:val="00AE6347"/>
    <w:rsid w:val="00AF3F47"/>
    <w:rsid w:val="00B02084"/>
    <w:rsid w:val="00B30614"/>
    <w:rsid w:val="00B34102"/>
    <w:rsid w:val="00B34DF2"/>
    <w:rsid w:val="00B3545E"/>
    <w:rsid w:val="00B420B7"/>
    <w:rsid w:val="00B657B7"/>
    <w:rsid w:val="00B963C4"/>
    <w:rsid w:val="00B96C78"/>
    <w:rsid w:val="00BA1A4F"/>
    <w:rsid w:val="00BB6E97"/>
    <w:rsid w:val="00BC1015"/>
    <w:rsid w:val="00BC593D"/>
    <w:rsid w:val="00BD157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91E29"/>
    <w:rsid w:val="00CA082B"/>
    <w:rsid w:val="00CA1384"/>
    <w:rsid w:val="00CA41FB"/>
    <w:rsid w:val="00CA4533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B20"/>
    <w:rsid w:val="00D43113"/>
    <w:rsid w:val="00D46AD9"/>
    <w:rsid w:val="00D46FD1"/>
    <w:rsid w:val="00D53911"/>
    <w:rsid w:val="00D62ED8"/>
    <w:rsid w:val="00D64E21"/>
    <w:rsid w:val="00D669DE"/>
    <w:rsid w:val="00D7380D"/>
    <w:rsid w:val="00D7633A"/>
    <w:rsid w:val="00D82133"/>
    <w:rsid w:val="00D904FA"/>
    <w:rsid w:val="00DB2828"/>
    <w:rsid w:val="00DB376D"/>
    <w:rsid w:val="00DC00EA"/>
    <w:rsid w:val="00DC092F"/>
    <w:rsid w:val="00DC558C"/>
    <w:rsid w:val="00DD3B7D"/>
    <w:rsid w:val="00DD4738"/>
    <w:rsid w:val="00DD6E68"/>
    <w:rsid w:val="00DF45C5"/>
    <w:rsid w:val="00E030C3"/>
    <w:rsid w:val="00E03384"/>
    <w:rsid w:val="00E161E2"/>
    <w:rsid w:val="00E26618"/>
    <w:rsid w:val="00E324F5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217"/>
    <w:rsid w:val="00EA6443"/>
    <w:rsid w:val="00EC0224"/>
    <w:rsid w:val="00EC2917"/>
    <w:rsid w:val="00EC785F"/>
    <w:rsid w:val="00ED6277"/>
    <w:rsid w:val="00ED64D1"/>
    <w:rsid w:val="00ED7AB8"/>
    <w:rsid w:val="00EE065E"/>
    <w:rsid w:val="00EE147E"/>
    <w:rsid w:val="00EE2785"/>
    <w:rsid w:val="00EE2E17"/>
    <w:rsid w:val="00EE752D"/>
    <w:rsid w:val="00EF74EF"/>
    <w:rsid w:val="00EF7EDE"/>
    <w:rsid w:val="00EF7F48"/>
    <w:rsid w:val="00F0060A"/>
    <w:rsid w:val="00F02D00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A54C1"/>
    <w:rsid w:val="00FB1DB3"/>
    <w:rsid w:val="00FB5778"/>
    <w:rsid w:val="00FB6FED"/>
    <w:rsid w:val="00FC0537"/>
    <w:rsid w:val="00FD3269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919E4-EFBC-422F-880B-3BDB9DD3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4</cp:revision>
  <cp:lastPrinted>2020-10-15T12:19:00Z</cp:lastPrinted>
  <dcterms:created xsi:type="dcterms:W3CDTF">2020-10-15T12:22:00Z</dcterms:created>
  <dcterms:modified xsi:type="dcterms:W3CDTF">2020-10-15T12:24:00Z</dcterms:modified>
</cp:coreProperties>
</file>