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FF4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F41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30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B2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666D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1 764 841 283,04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16 947 000,00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1 874 277 702,96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20 339 863,36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5B2DD3">
        <w:rPr>
          <w:rFonts w:ascii="Times New Roman" w:eastAsia="Times New Roman" w:hAnsi="Times New Roman" w:cs="Times New Roman"/>
          <w:sz w:val="28"/>
          <w:szCs w:val="28"/>
          <w:lang w:eastAsia="ru-RU"/>
        </w:rPr>
        <w:t>109 436 419,92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442FD">
        <w:rPr>
          <w:rFonts w:ascii="Times New Roman" w:eastAsia="Times New Roman" w:hAnsi="Times New Roman" w:cs="Times New Roman"/>
          <w:sz w:val="28"/>
          <w:szCs w:val="28"/>
          <w:lang w:eastAsia="ru-RU"/>
        </w:rPr>
        <w:t>1 764 841 283,04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442FD">
        <w:rPr>
          <w:rFonts w:ascii="Times New Roman" w:eastAsia="Times New Roman" w:hAnsi="Times New Roman" w:cs="Times New Roman"/>
          <w:sz w:val="28"/>
          <w:szCs w:val="28"/>
          <w:lang w:eastAsia="ru-RU"/>
        </w:rPr>
        <w:t>16 947 000,00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01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A442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2FD" w:rsidRDefault="00FD1D9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связи с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увеличением прочих безвозмездных поступлений в местный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годовые плановые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межбюджетных трансфертов и иных безвозмездных поступлений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увеличены на 16 947 000,00 руб.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увеличения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</w:t>
      </w:r>
      <w:r w:rsidR="00A44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74EEE" w:rsidRDefault="00474EEE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2019 год предусмотрен в сумме 1 874 277 702,96 руб., что на 20 339 863,36 руб. или на 1,10 процента больше установленных плановых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азначений. 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на 2019 год будут осуществлены за счет: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использования, на сумму 16 947 000,00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бюджетных ассигнований местного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направления на расходы остатков средств местного бюджета по состоянию на 01.01.2019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3 392 863,36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по расходам вносятся следующие изменения по муниципальным программам местного бюджета: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муниципальной программе «Социальная поддержка граждан» увеличены расходы по ежегодной денежной выплате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краевого бюджета на сумму 16 947 000,00 руб.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поддержка граждан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394 641 941,35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38F8" w:rsidRDefault="003E38F8" w:rsidP="003E3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образования и молодежной политики</w:t>
      </w:r>
      <w:r w:rsidRPr="00D85A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увеличены расходы на приобретение стройматериалов для ремонта помещений общеобразовательных школ </w:t>
      </w:r>
      <w:r w:rsidRPr="00DC1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остатков средств местного бюджета по состоянию на 01.01.2019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850 000,00 руб.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образования и молодежной политики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675 131 186,53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38F8" w:rsidRDefault="003E38F8" w:rsidP="003E3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муниципальной программе «Осуществление местного самоуправления в Благодарненском городском округе Ставропольского края» </w:t>
      </w:r>
    </w:p>
    <w:p w:rsidR="003E38F8" w:rsidRDefault="003E38F8" w:rsidP="003E3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увеличены расходы на мероприятия по обеспечению предоставления муниципальных услуг в электронной форме </w:t>
      </w:r>
      <w:r w:rsidRPr="00DC1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остатков средств местного бюджета по состоянию на 01.01.2019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380 000,00 руб.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230 845 243,04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E38F8" w:rsidRDefault="003E38F8" w:rsidP="003E38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 муниципальной программе «Развитие жилищно-коммунального хозяйства и дорожной инфраструктуры» расходы увеличены на общую сумму 3 478 466,77 руб., в том числе  </w:t>
      </w:r>
      <w:r w:rsidRPr="00DC1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остатков средств местного бюджета по состоянию на 01.01.2019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1 499 363,36 руб. и за счет перераспределения средств местного бюджета между КБК на сумму 1 979 103,41 руб. Расходы увеличены на ремонт и содержание уличного освещения в сумме 2 000 000,00 руб., ремонт и благоустройство памятников в сумме 1 000 000,00 руб., расходы на обеспечение деятельности (оказание услуг) муниципальных учреждений в сумме 478 466,77 руб.</w:t>
      </w:r>
    </w:p>
    <w:p w:rsidR="003E38F8" w:rsidRDefault="003E38F8" w:rsidP="003E38F8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непрограммным расходам местного бюджета по целевой статье расходов 97 0 00 00000 «Реализация иных функций»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снижены на общую сумму 1 315 603,41 руб., в том числе снижены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перераспределения средств местного бюджета между КБК на сумму 1 979 103,41 руб. и увеличены </w:t>
      </w:r>
      <w:r w:rsidRPr="00DC1F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остатков средств местного бюджета по состоянию на 01.01.2019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663 500,00 руб. Расходы увеличены на судебные издержки по исполнительному листу в сумме 213 000,00 руб. и разработку градостроительной документации в сумме 450 000,00 руб. </w:t>
      </w:r>
      <w:r w:rsidRPr="00474EE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расходов 97 0 00 00000 «Реализация иных функций» на 2019 год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68 595 339,64 руб.</w:t>
      </w: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109 436 419,92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FD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109 436 419,92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1 764 841 283,04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16 947 000,00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8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FD14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97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8B" w:rsidRPr="00F50205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1 874 277 702,96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20 339 863,36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D8213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FD14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8F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FD14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109 436 419,92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92" w:rsidRDefault="00D64492" w:rsidP="00D278E4">
      <w:pPr>
        <w:spacing w:after="0" w:line="240" w:lineRule="auto"/>
      </w:pPr>
      <w:r>
        <w:separator/>
      </w:r>
    </w:p>
  </w:endnote>
  <w:endnote w:type="continuationSeparator" w:id="0">
    <w:p w:rsidR="00D64492" w:rsidRDefault="00D64492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92" w:rsidRDefault="00D64492" w:rsidP="00D278E4">
      <w:pPr>
        <w:spacing w:after="0" w:line="240" w:lineRule="auto"/>
      </w:pPr>
      <w:r>
        <w:separator/>
      </w:r>
    </w:p>
  </w:footnote>
  <w:footnote w:type="continuationSeparator" w:id="0">
    <w:p w:rsidR="00D64492" w:rsidRDefault="00D64492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16628">
      <w:trPr>
        <w:trHeight w:val="720"/>
      </w:trPr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F6755B">
            <w:rPr>
              <w:noProof/>
              <w:color w:val="4F81BD" w:themeColor="accent1"/>
              <w:sz w:val="24"/>
              <w:szCs w:val="24"/>
            </w:rPr>
            <w:t>2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816628" w:rsidRDefault="0081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34DB2"/>
    <w:rsid w:val="00037FB5"/>
    <w:rsid w:val="0007089E"/>
    <w:rsid w:val="0008134C"/>
    <w:rsid w:val="000F45AC"/>
    <w:rsid w:val="00101B65"/>
    <w:rsid w:val="001072B1"/>
    <w:rsid w:val="0011304C"/>
    <w:rsid w:val="00127496"/>
    <w:rsid w:val="001341CE"/>
    <w:rsid w:val="001348A6"/>
    <w:rsid w:val="00144B77"/>
    <w:rsid w:val="00150A8B"/>
    <w:rsid w:val="00153688"/>
    <w:rsid w:val="00154613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3168B"/>
    <w:rsid w:val="002405EA"/>
    <w:rsid w:val="00243AEB"/>
    <w:rsid w:val="00244912"/>
    <w:rsid w:val="002454FC"/>
    <w:rsid w:val="00256899"/>
    <w:rsid w:val="0027212A"/>
    <w:rsid w:val="00274E5A"/>
    <w:rsid w:val="002800CE"/>
    <w:rsid w:val="002821EF"/>
    <w:rsid w:val="002823AB"/>
    <w:rsid w:val="0028412A"/>
    <w:rsid w:val="002901CE"/>
    <w:rsid w:val="002A7EBC"/>
    <w:rsid w:val="002B2B03"/>
    <w:rsid w:val="002C6BBE"/>
    <w:rsid w:val="002C7D63"/>
    <w:rsid w:val="002D399B"/>
    <w:rsid w:val="002E3938"/>
    <w:rsid w:val="002E404A"/>
    <w:rsid w:val="002E4A57"/>
    <w:rsid w:val="002E538B"/>
    <w:rsid w:val="002E7EE9"/>
    <w:rsid w:val="002F2E8E"/>
    <w:rsid w:val="0030079C"/>
    <w:rsid w:val="0030445C"/>
    <w:rsid w:val="003148E4"/>
    <w:rsid w:val="00316C26"/>
    <w:rsid w:val="00323506"/>
    <w:rsid w:val="00325E06"/>
    <w:rsid w:val="00326B57"/>
    <w:rsid w:val="00355C71"/>
    <w:rsid w:val="00363F16"/>
    <w:rsid w:val="00363FDD"/>
    <w:rsid w:val="00371D0C"/>
    <w:rsid w:val="003743E4"/>
    <w:rsid w:val="00374C0A"/>
    <w:rsid w:val="003806A6"/>
    <w:rsid w:val="003818B1"/>
    <w:rsid w:val="00387EC1"/>
    <w:rsid w:val="00391B8F"/>
    <w:rsid w:val="0039310C"/>
    <w:rsid w:val="003A13DC"/>
    <w:rsid w:val="003A2ACA"/>
    <w:rsid w:val="003A3E7A"/>
    <w:rsid w:val="003A53AD"/>
    <w:rsid w:val="003C7415"/>
    <w:rsid w:val="003E38F8"/>
    <w:rsid w:val="003F6D37"/>
    <w:rsid w:val="003F7234"/>
    <w:rsid w:val="004139AF"/>
    <w:rsid w:val="00414B38"/>
    <w:rsid w:val="004238BD"/>
    <w:rsid w:val="004355D0"/>
    <w:rsid w:val="00437FB6"/>
    <w:rsid w:val="00452D42"/>
    <w:rsid w:val="00454360"/>
    <w:rsid w:val="00463C10"/>
    <w:rsid w:val="0046518E"/>
    <w:rsid w:val="00471E6C"/>
    <w:rsid w:val="004739BF"/>
    <w:rsid w:val="00474EEE"/>
    <w:rsid w:val="00485D3E"/>
    <w:rsid w:val="004A0E14"/>
    <w:rsid w:val="004B13C6"/>
    <w:rsid w:val="004D0040"/>
    <w:rsid w:val="004D6968"/>
    <w:rsid w:val="004D6DDC"/>
    <w:rsid w:val="004D6E75"/>
    <w:rsid w:val="004E0E23"/>
    <w:rsid w:val="004E7AB9"/>
    <w:rsid w:val="00503266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60C"/>
    <w:rsid w:val="005939EE"/>
    <w:rsid w:val="00597E5C"/>
    <w:rsid w:val="005A059D"/>
    <w:rsid w:val="005A535C"/>
    <w:rsid w:val="005B2DD3"/>
    <w:rsid w:val="005B6487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458C4"/>
    <w:rsid w:val="00652B49"/>
    <w:rsid w:val="00655C02"/>
    <w:rsid w:val="00664B0A"/>
    <w:rsid w:val="00665FBC"/>
    <w:rsid w:val="00671859"/>
    <w:rsid w:val="00685296"/>
    <w:rsid w:val="006A2E07"/>
    <w:rsid w:val="006A3A5B"/>
    <w:rsid w:val="006B4D47"/>
    <w:rsid w:val="006C0DF3"/>
    <w:rsid w:val="006C1E09"/>
    <w:rsid w:val="006D39B8"/>
    <w:rsid w:val="006E646B"/>
    <w:rsid w:val="006F2B3F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E4C7B"/>
    <w:rsid w:val="009E6151"/>
    <w:rsid w:val="009F30CA"/>
    <w:rsid w:val="00A10122"/>
    <w:rsid w:val="00A13C01"/>
    <w:rsid w:val="00A309AD"/>
    <w:rsid w:val="00A30F3D"/>
    <w:rsid w:val="00A365E8"/>
    <w:rsid w:val="00A4059F"/>
    <w:rsid w:val="00A438AE"/>
    <w:rsid w:val="00A442FD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F108A"/>
    <w:rsid w:val="00BF51B9"/>
    <w:rsid w:val="00BF6AAD"/>
    <w:rsid w:val="00C02964"/>
    <w:rsid w:val="00C0422B"/>
    <w:rsid w:val="00C05323"/>
    <w:rsid w:val="00C135D5"/>
    <w:rsid w:val="00C14611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78E4"/>
    <w:rsid w:val="00D43113"/>
    <w:rsid w:val="00D64492"/>
    <w:rsid w:val="00D669DE"/>
    <w:rsid w:val="00D82133"/>
    <w:rsid w:val="00DB2828"/>
    <w:rsid w:val="00DC00EA"/>
    <w:rsid w:val="00DC092F"/>
    <w:rsid w:val="00DC558C"/>
    <w:rsid w:val="00DD3B7D"/>
    <w:rsid w:val="00DD6E68"/>
    <w:rsid w:val="00DF45C5"/>
    <w:rsid w:val="00E030C3"/>
    <w:rsid w:val="00E161E2"/>
    <w:rsid w:val="00E26618"/>
    <w:rsid w:val="00E324F5"/>
    <w:rsid w:val="00E546D9"/>
    <w:rsid w:val="00E578DE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6755B"/>
    <w:rsid w:val="00F74915"/>
    <w:rsid w:val="00F80F34"/>
    <w:rsid w:val="00F85550"/>
    <w:rsid w:val="00F86736"/>
    <w:rsid w:val="00F87B4A"/>
    <w:rsid w:val="00FA3B43"/>
    <w:rsid w:val="00FB6FED"/>
    <w:rsid w:val="00FC0537"/>
    <w:rsid w:val="00FD1405"/>
    <w:rsid w:val="00FD1D9C"/>
    <w:rsid w:val="00FD361C"/>
    <w:rsid w:val="00FF2773"/>
    <w:rsid w:val="00FF4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8E0D5-1186-4B8F-9E02-7AE27DCD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3376</TotalTime>
  <Pages>5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114</cp:revision>
  <cp:lastPrinted>2019-05-28T06:15:00Z</cp:lastPrinted>
  <dcterms:created xsi:type="dcterms:W3CDTF">2013-09-17T05:23:00Z</dcterms:created>
  <dcterms:modified xsi:type="dcterms:W3CDTF">2019-05-28T06:21:00Z</dcterms:modified>
</cp:coreProperties>
</file>